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6666" w14:textId="5CEB9619" w:rsidR="00A61C3A" w:rsidRPr="00A61C3A" w:rsidRDefault="001F060E" w:rsidP="004B1E97">
      <w:pPr>
        <w:spacing w:before="240"/>
        <w:ind w:firstLine="0"/>
        <w:jc w:val="center"/>
        <w:rPr>
          <w:rFonts w:ascii="Times New Roman" w:hAnsi="Times New Roman" w:cs="Times New Roman"/>
          <w:sz w:val="24"/>
          <w:szCs w:val="24"/>
        </w:rPr>
      </w:pPr>
      <w:r w:rsidRPr="001F060E">
        <w:rPr>
          <w:rFonts w:ascii="Times New Roman" w:hAnsi="Times New Roman" w:cs="Times New Roman"/>
          <w:noProof/>
          <w:sz w:val="24"/>
          <w:szCs w:val="24"/>
          <w:lang w:eastAsia="pt-BR"/>
        </w:rPr>
        <w:drawing>
          <wp:inline distT="0" distB="0" distL="0" distR="0" wp14:anchorId="2E2004FA" wp14:editId="2B5CBB23">
            <wp:extent cx="3289476" cy="814508"/>
            <wp:effectExtent l="0" t="0" r="635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347599" cy="828900"/>
                    </a:xfrm>
                    <a:prstGeom prst="rect">
                      <a:avLst/>
                    </a:prstGeom>
                  </pic:spPr>
                </pic:pic>
              </a:graphicData>
            </a:graphic>
          </wp:inline>
        </w:drawing>
      </w:r>
    </w:p>
    <w:p w14:paraId="1D4F4E0B" w14:textId="77777777" w:rsidR="00457128" w:rsidRPr="00BD6DF1" w:rsidRDefault="00342B5B" w:rsidP="004B1E97">
      <w:pPr>
        <w:spacing w:before="240"/>
        <w:ind w:firstLine="0"/>
        <w:jc w:val="center"/>
        <w:rPr>
          <w:rFonts w:ascii="Times New Roman" w:hAnsi="Times New Roman" w:cs="Times New Roman"/>
          <w:sz w:val="24"/>
          <w:szCs w:val="24"/>
        </w:rPr>
      </w:pPr>
      <w:r w:rsidRPr="00DD2616">
        <w:rPr>
          <w:noProof/>
          <w:lang w:eastAsia="pt-BR"/>
        </w:rPr>
        <w:drawing>
          <wp:anchor distT="0" distB="0" distL="114300" distR="114300" simplePos="0" relativeHeight="251660288" behindDoc="0" locked="0" layoutInCell="1" allowOverlap="1" wp14:anchorId="49C3604F" wp14:editId="063F864C">
            <wp:simplePos x="0" y="0"/>
            <wp:positionH relativeFrom="margin">
              <wp:align>center</wp:align>
            </wp:positionH>
            <wp:positionV relativeFrom="paragraph">
              <wp:posOffset>26987</wp:posOffset>
            </wp:positionV>
            <wp:extent cx="4283797" cy="783771"/>
            <wp:effectExtent l="0" t="0" r="254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3797" cy="783771"/>
                    </a:xfrm>
                    <a:prstGeom prst="rect">
                      <a:avLst/>
                    </a:prstGeom>
                  </pic:spPr>
                </pic:pic>
              </a:graphicData>
            </a:graphic>
          </wp:anchor>
        </w:drawing>
      </w:r>
    </w:p>
    <w:p w14:paraId="0671C08F" w14:textId="77777777" w:rsidR="00457128" w:rsidRDefault="00457128" w:rsidP="004B1E97">
      <w:pPr>
        <w:ind w:firstLine="0"/>
        <w:jc w:val="center"/>
        <w:rPr>
          <w:rFonts w:ascii="Times New Roman" w:eastAsia="Times New Roman" w:hAnsi="Times New Roman" w:cs="Times New Roman"/>
          <w:b/>
          <w:bCs/>
          <w:sz w:val="24"/>
          <w:szCs w:val="24"/>
          <w:lang w:eastAsia="pt-BR"/>
        </w:rPr>
      </w:pPr>
    </w:p>
    <w:p w14:paraId="4BB5A96F" w14:textId="77777777" w:rsidR="000B09CF" w:rsidRDefault="000B09CF" w:rsidP="004B1E97">
      <w:pPr>
        <w:ind w:firstLine="0"/>
        <w:jc w:val="center"/>
        <w:rPr>
          <w:rFonts w:ascii="Times New Roman" w:eastAsia="Times New Roman" w:hAnsi="Times New Roman" w:cs="Times New Roman"/>
          <w:b/>
          <w:bCs/>
          <w:sz w:val="24"/>
          <w:szCs w:val="24"/>
          <w:lang w:eastAsia="pt-BR"/>
        </w:rPr>
      </w:pPr>
    </w:p>
    <w:p w14:paraId="7CE26B0E" w14:textId="77777777" w:rsidR="000B09CF" w:rsidRDefault="000B09CF" w:rsidP="004B1E97">
      <w:pPr>
        <w:ind w:firstLine="0"/>
        <w:jc w:val="center"/>
        <w:rPr>
          <w:rFonts w:ascii="Times New Roman" w:eastAsia="Times New Roman" w:hAnsi="Times New Roman" w:cs="Times New Roman"/>
          <w:b/>
          <w:bCs/>
          <w:sz w:val="24"/>
          <w:szCs w:val="24"/>
          <w:lang w:eastAsia="pt-BR"/>
        </w:rPr>
      </w:pPr>
    </w:p>
    <w:p w14:paraId="54F4E924" w14:textId="1331E9C8" w:rsidR="00A61C3A" w:rsidRPr="00A06A31" w:rsidRDefault="00A61C3A" w:rsidP="004B1E97">
      <w:pPr>
        <w:ind w:firstLine="0"/>
        <w:jc w:val="center"/>
        <w:rPr>
          <w:rFonts w:ascii="Times New Roman" w:eastAsia="Times New Roman" w:hAnsi="Times New Roman" w:cs="Times New Roman"/>
          <w:sz w:val="24"/>
          <w:szCs w:val="24"/>
          <w:lang w:eastAsia="pt-BR"/>
        </w:rPr>
      </w:pPr>
      <w:r w:rsidRPr="00A06A31">
        <w:rPr>
          <w:rFonts w:ascii="Times New Roman" w:eastAsia="Times New Roman" w:hAnsi="Times New Roman" w:cs="Times New Roman"/>
          <w:b/>
          <w:bCs/>
          <w:sz w:val="24"/>
          <w:szCs w:val="24"/>
          <w:lang w:eastAsia="pt-BR"/>
        </w:rPr>
        <w:t>AUDITORIA NAS CONTAS ANUAIS</w:t>
      </w:r>
      <w:r w:rsidR="00A06A31" w:rsidRPr="00A06A31">
        <w:rPr>
          <w:rFonts w:ascii="Times New Roman" w:eastAsia="Times New Roman" w:hAnsi="Times New Roman" w:cs="Times New Roman"/>
          <w:b/>
          <w:bCs/>
          <w:sz w:val="24"/>
          <w:szCs w:val="24"/>
          <w:lang w:eastAsia="pt-BR"/>
        </w:rPr>
        <w:t xml:space="preserve"> -</w:t>
      </w:r>
      <w:r w:rsidR="00A06A31" w:rsidRPr="00A06A31">
        <w:rPr>
          <w:rFonts w:ascii="Times New Roman" w:eastAsia="Times New Roman" w:hAnsi="Times New Roman" w:cs="Times New Roman"/>
          <w:sz w:val="24"/>
          <w:szCs w:val="24"/>
          <w:lang w:eastAsia="pt-BR"/>
        </w:rPr>
        <w:t xml:space="preserve"> </w:t>
      </w:r>
      <w:r w:rsidRPr="00A06A31">
        <w:rPr>
          <w:rFonts w:ascii="Times New Roman" w:eastAsia="Times New Roman" w:hAnsi="Times New Roman" w:cs="Times New Roman"/>
          <w:b/>
          <w:bCs/>
          <w:sz w:val="24"/>
          <w:szCs w:val="24"/>
          <w:lang w:eastAsia="pt-BR"/>
        </w:rPr>
        <w:t>FINANCEIRA INTEGRADA COM CONFORMIDADE</w:t>
      </w:r>
    </w:p>
    <w:p w14:paraId="52A0F6F3" w14:textId="77777777" w:rsidR="00E46213" w:rsidRDefault="00E46213" w:rsidP="004B1E97">
      <w:pPr>
        <w:ind w:firstLine="0"/>
        <w:rPr>
          <w:rFonts w:ascii="Times New Roman" w:eastAsia="Times New Roman" w:hAnsi="Times New Roman" w:cs="Times New Roman"/>
          <w:b/>
          <w:bCs/>
          <w:sz w:val="24"/>
          <w:szCs w:val="24"/>
          <w:lang w:eastAsia="pt-BR"/>
        </w:rPr>
      </w:pPr>
    </w:p>
    <w:p w14:paraId="042E9F33" w14:textId="7DEF7BFE" w:rsidR="00A61C3A" w:rsidRPr="00A06A31" w:rsidRDefault="00036A2E" w:rsidP="004B1E97">
      <w:pPr>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EXERCÍCIO 202</w:t>
      </w:r>
      <w:r w:rsidR="00E7087B">
        <w:rPr>
          <w:rFonts w:ascii="Times New Roman" w:eastAsia="Times New Roman" w:hAnsi="Times New Roman" w:cs="Times New Roman"/>
          <w:b/>
          <w:bCs/>
          <w:sz w:val="24"/>
          <w:szCs w:val="24"/>
          <w:lang w:eastAsia="pt-BR"/>
        </w:rPr>
        <w:t>5</w:t>
      </w:r>
    </w:p>
    <w:p w14:paraId="0B9E0F9E" w14:textId="77777777" w:rsidR="00A06A31" w:rsidRPr="00A06A31" w:rsidRDefault="00A06A31" w:rsidP="004B1E97">
      <w:pPr>
        <w:ind w:firstLine="0"/>
        <w:rPr>
          <w:rFonts w:ascii="Times New Roman" w:eastAsia="Times New Roman" w:hAnsi="Times New Roman" w:cs="Times New Roman"/>
          <w:sz w:val="24"/>
          <w:szCs w:val="24"/>
          <w:lang w:eastAsia="pt-BR"/>
        </w:rPr>
      </w:pPr>
    </w:p>
    <w:p w14:paraId="49C9DAB1" w14:textId="77777777" w:rsidR="00E46213" w:rsidRDefault="00A06A31" w:rsidP="004B1E97">
      <w:pPr>
        <w:ind w:firstLine="0"/>
        <w:jc w:val="center"/>
        <w:rPr>
          <w:rFonts w:ascii="Times New Roman" w:eastAsia="Times New Roman" w:hAnsi="Times New Roman" w:cs="Times New Roman"/>
          <w:b/>
          <w:bCs/>
          <w:caps/>
          <w:color w:val="000080"/>
          <w:sz w:val="24"/>
          <w:szCs w:val="24"/>
          <w:lang w:eastAsia="pt-BR"/>
        </w:rPr>
      </w:pPr>
      <w:r w:rsidRPr="00A06A31">
        <w:rPr>
          <w:rFonts w:ascii="Times New Roman" w:eastAsia="Times New Roman" w:hAnsi="Times New Roman" w:cs="Times New Roman"/>
          <w:b/>
          <w:bCs/>
          <w:caps/>
          <w:color w:val="000080"/>
          <w:sz w:val="24"/>
          <w:szCs w:val="24"/>
          <w:lang w:eastAsia="pt-BR"/>
        </w:rPr>
        <w:t xml:space="preserve">SECRETARIA DE AUDITORIA INTERNA </w:t>
      </w:r>
      <w:r w:rsidR="00E46213">
        <w:rPr>
          <w:rFonts w:ascii="Times New Roman" w:eastAsia="Times New Roman" w:hAnsi="Times New Roman" w:cs="Times New Roman"/>
          <w:b/>
          <w:bCs/>
          <w:caps/>
          <w:color w:val="000080"/>
          <w:sz w:val="24"/>
          <w:szCs w:val="24"/>
          <w:lang w:eastAsia="pt-BR"/>
        </w:rPr>
        <w:t>–</w:t>
      </w:r>
      <w:r w:rsidRPr="00A06A31">
        <w:rPr>
          <w:rFonts w:ascii="Times New Roman" w:eastAsia="Times New Roman" w:hAnsi="Times New Roman" w:cs="Times New Roman"/>
          <w:b/>
          <w:bCs/>
          <w:caps/>
          <w:color w:val="000080"/>
          <w:sz w:val="24"/>
          <w:szCs w:val="24"/>
          <w:lang w:eastAsia="pt-BR"/>
        </w:rPr>
        <w:t xml:space="preserve"> SECAU</w:t>
      </w:r>
    </w:p>
    <w:p w14:paraId="05428048" w14:textId="77777777" w:rsidR="00781A70" w:rsidRPr="00A06A31" w:rsidRDefault="00781A70" w:rsidP="004B1E97">
      <w:pPr>
        <w:ind w:firstLine="0"/>
        <w:jc w:val="center"/>
        <w:rPr>
          <w:rFonts w:ascii="Times New Roman" w:eastAsia="Times New Roman" w:hAnsi="Times New Roman" w:cs="Times New Roman"/>
          <w:sz w:val="24"/>
          <w:szCs w:val="24"/>
          <w:lang w:eastAsia="pt-BR"/>
        </w:rPr>
      </w:pPr>
    </w:p>
    <w:p w14:paraId="5FD79E47" w14:textId="77777777" w:rsidR="00A06A31" w:rsidRPr="00A06A31" w:rsidRDefault="00A06A31" w:rsidP="004B1E97">
      <w:pPr>
        <w:ind w:left="120" w:right="120" w:firstLine="0"/>
        <w:jc w:val="center"/>
        <w:rPr>
          <w:rFonts w:ascii="Times New Roman" w:eastAsia="Times New Roman" w:hAnsi="Times New Roman" w:cs="Times New Roman"/>
          <w:sz w:val="24"/>
          <w:szCs w:val="24"/>
          <w:lang w:eastAsia="pt-BR"/>
        </w:rPr>
      </w:pPr>
      <w:r w:rsidRPr="00A06A31">
        <w:rPr>
          <w:rFonts w:ascii="Times New Roman" w:eastAsia="Times New Roman" w:hAnsi="Times New Roman" w:cs="Times New Roman"/>
          <w:b/>
          <w:bCs/>
          <w:color w:val="000000"/>
          <w:sz w:val="24"/>
          <w:szCs w:val="24"/>
          <w:lang w:eastAsia="pt-BR"/>
        </w:rPr>
        <w:t>TRIBUNAL REGIONAL FEDERAL DA 6ª REGIÃO</w:t>
      </w:r>
    </w:p>
    <w:p w14:paraId="6DDFEBCC" w14:textId="77777777" w:rsidR="00A06A31" w:rsidRPr="00A06A31" w:rsidRDefault="00A06A31" w:rsidP="004B1E97">
      <w:pPr>
        <w:ind w:left="120" w:right="120" w:firstLine="0"/>
        <w:jc w:val="center"/>
        <w:rPr>
          <w:rFonts w:ascii="Times New Roman" w:eastAsia="Times New Roman" w:hAnsi="Times New Roman" w:cs="Times New Roman"/>
          <w:sz w:val="24"/>
          <w:szCs w:val="24"/>
          <w:lang w:eastAsia="pt-BR"/>
        </w:rPr>
      </w:pPr>
    </w:p>
    <w:p w14:paraId="4265E16D" w14:textId="77777777" w:rsidR="006676D2" w:rsidRDefault="006676D2" w:rsidP="004B1E97">
      <w:pPr>
        <w:ind w:left="62" w:right="62" w:firstLine="0"/>
        <w:jc w:val="center"/>
        <w:rPr>
          <w:rFonts w:ascii="Times New Roman" w:eastAsia="Times New Roman" w:hAnsi="Times New Roman" w:cs="Times New Roman"/>
          <w:b/>
          <w:bCs/>
          <w:color w:val="000000"/>
          <w:lang w:eastAsia="pt-BR"/>
        </w:rPr>
      </w:pPr>
    </w:p>
    <w:p w14:paraId="5985F73A" w14:textId="77777777" w:rsidR="00A06A31" w:rsidRPr="00B57EF6" w:rsidRDefault="00A06A31" w:rsidP="00781A70">
      <w:pPr>
        <w:ind w:firstLine="0"/>
        <w:jc w:val="center"/>
        <w:rPr>
          <w:rFonts w:ascii="Times New Roman" w:eastAsia="Times New Roman" w:hAnsi="Times New Roman" w:cs="Times New Roman"/>
          <w:color w:val="000000"/>
          <w:lang w:eastAsia="pt-BR"/>
        </w:rPr>
      </w:pPr>
      <w:r w:rsidRPr="005A0926">
        <w:rPr>
          <w:rFonts w:ascii="Times New Roman" w:eastAsia="Times New Roman" w:hAnsi="Times New Roman" w:cs="Times New Roman"/>
          <w:b/>
          <w:bCs/>
          <w:color w:val="000000"/>
          <w:lang w:eastAsia="pt-BR"/>
        </w:rPr>
        <w:t>Edifício I - Antônio Fernando Pinheiro</w:t>
      </w:r>
      <w:r w:rsidRPr="005A0926">
        <w:rPr>
          <w:rFonts w:ascii="Times New Roman" w:eastAsia="Times New Roman" w:hAnsi="Times New Roman" w:cs="Times New Roman"/>
          <w:color w:val="000000"/>
          <w:lang w:eastAsia="pt-BR"/>
        </w:rPr>
        <w:br/>
        <w:t>Av. Álvares Cabral, 1805</w:t>
      </w:r>
      <w:r w:rsidRPr="005A0926">
        <w:rPr>
          <w:rFonts w:ascii="Times New Roman" w:eastAsia="Times New Roman" w:hAnsi="Times New Roman" w:cs="Times New Roman"/>
          <w:color w:val="000000"/>
          <w:lang w:eastAsia="pt-BR"/>
        </w:rPr>
        <w:br/>
        <w:t>Santo Agostinho - Belo Horizonte/MG</w:t>
      </w:r>
      <w:r w:rsidRPr="005A0926">
        <w:rPr>
          <w:rFonts w:ascii="Times New Roman" w:eastAsia="Times New Roman" w:hAnsi="Times New Roman" w:cs="Times New Roman"/>
          <w:color w:val="000000"/>
          <w:lang w:eastAsia="pt-BR"/>
        </w:rPr>
        <w:br/>
        <w:t>CEP: 30170-001</w:t>
      </w:r>
    </w:p>
    <w:p w14:paraId="036A43BE" w14:textId="77777777" w:rsidR="00A06A31" w:rsidRPr="00B57EF6" w:rsidRDefault="00A06A31" w:rsidP="004B1E97">
      <w:pPr>
        <w:ind w:left="60" w:right="60" w:firstLine="0"/>
        <w:jc w:val="center"/>
        <w:rPr>
          <w:rFonts w:ascii="Times New Roman" w:eastAsia="Times New Roman" w:hAnsi="Times New Roman" w:cs="Times New Roman"/>
          <w:color w:val="000000"/>
          <w:lang w:eastAsia="pt-BR"/>
        </w:rPr>
      </w:pPr>
    </w:p>
    <w:p w14:paraId="1EB57112" w14:textId="77777777" w:rsidR="00A06A31" w:rsidRPr="00B57EF6" w:rsidRDefault="00A06A31" w:rsidP="004B1E97">
      <w:pPr>
        <w:ind w:left="62" w:right="62" w:firstLine="0"/>
        <w:jc w:val="center"/>
        <w:rPr>
          <w:rFonts w:ascii="Times New Roman" w:eastAsia="Times New Roman" w:hAnsi="Times New Roman" w:cs="Times New Roman"/>
          <w:b/>
          <w:lang w:eastAsia="pt-BR"/>
        </w:rPr>
      </w:pPr>
      <w:r w:rsidRPr="00B57EF6">
        <w:rPr>
          <w:rFonts w:ascii="Times New Roman" w:eastAsia="Times New Roman" w:hAnsi="Times New Roman" w:cs="Times New Roman"/>
          <w:b/>
          <w:color w:val="000000"/>
          <w:lang w:eastAsia="pt-BR"/>
        </w:rPr>
        <w:t>Edifício II - Euclydes</w:t>
      </w:r>
      <w:r w:rsidRPr="00B57EF6">
        <w:rPr>
          <w:rFonts w:ascii="Times New Roman" w:eastAsia="Times New Roman" w:hAnsi="Times New Roman" w:cs="Times New Roman"/>
          <w:b/>
          <w:bCs/>
          <w:color w:val="000000"/>
          <w:lang w:eastAsia="pt-BR"/>
        </w:rPr>
        <w:t xml:space="preserve"> Reis Aguiar </w:t>
      </w:r>
    </w:p>
    <w:p w14:paraId="31BF76FD" w14:textId="77777777" w:rsidR="00A06A31" w:rsidRPr="005A0926" w:rsidRDefault="00A06A31" w:rsidP="004B1E97">
      <w:pPr>
        <w:ind w:left="62" w:right="62"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Av. Álvares Cabral, 1741</w:t>
      </w:r>
    </w:p>
    <w:p w14:paraId="19448B46" w14:textId="122847D1" w:rsidR="00A06A31" w:rsidRPr="005A0926" w:rsidRDefault="00A06A31" w:rsidP="004B1E97">
      <w:pPr>
        <w:ind w:left="62" w:right="62"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Santo Agostinho - Belo Horizonte/M</w:t>
      </w:r>
      <w:r w:rsidR="002B7CAB">
        <w:rPr>
          <w:rFonts w:ascii="Times New Roman" w:eastAsia="Times New Roman" w:hAnsi="Times New Roman" w:cs="Times New Roman"/>
          <w:color w:val="000000"/>
          <w:lang w:eastAsia="pt-BR"/>
        </w:rPr>
        <w:t>G</w:t>
      </w:r>
    </w:p>
    <w:p w14:paraId="759FBB37" w14:textId="77777777" w:rsidR="00A06A31" w:rsidRPr="005A0926" w:rsidRDefault="00A06A31" w:rsidP="004B1E97">
      <w:pPr>
        <w:ind w:left="62" w:right="62"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CEP: 30170-001</w:t>
      </w:r>
    </w:p>
    <w:p w14:paraId="0BDE356E" w14:textId="77777777" w:rsidR="00A06A31" w:rsidRPr="005A0926" w:rsidRDefault="00A06A31" w:rsidP="004B1E97">
      <w:pPr>
        <w:ind w:right="119" w:firstLine="0"/>
        <w:rPr>
          <w:rFonts w:ascii="Times New Roman" w:eastAsia="Times New Roman" w:hAnsi="Times New Roman" w:cs="Times New Roman"/>
          <w:lang w:eastAsia="pt-BR"/>
        </w:rPr>
      </w:pPr>
    </w:p>
    <w:p w14:paraId="66B46798" w14:textId="77777777" w:rsidR="005A0926" w:rsidRPr="005A0926" w:rsidRDefault="005A0926" w:rsidP="004B1E97">
      <w:pPr>
        <w:ind w:left="62" w:right="62"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b/>
          <w:bCs/>
          <w:color w:val="000000"/>
          <w:lang w:eastAsia="pt-BR"/>
        </w:rPr>
        <w:t xml:space="preserve">Edifício III – Oscar Dias Corrêa </w:t>
      </w:r>
    </w:p>
    <w:p w14:paraId="31F7199F" w14:textId="77777777" w:rsidR="005A0926" w:rsidRPr="005A0926" w:rsidRDefault="005A0926" w:rsidP="004B1E97">
      <w:pPr>
        <w:ind w:left="62" w:right="62"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Rua Santos Barreto, 161</w:t>
      </w:r>
    </w:p>
    <w:p w14:paraId="6F9EB5B6" w14:textId="77777777" w:rsidR="005A0926" w:rsidRPr="005A0926" w:rsidRDefault="005A0926" w:rsidP="004B1E97">
      <w:pPr>
        <w:ind w:left="62" w:right="62"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Santo Agostinho - Belo Horizonte/MG</w:t>
      </w:r>
    </w:p>
    <w:p w14:paraId="36ADF5DD" w14:textId="77777777" w:rsidR="005A0926" w:rsidRPr="005A0926" w:rsidRDefault="005A0926" w:rsidP="004B1E97">
      <w:pPr>
        <w:ind w:left="62" w:right="62"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CEP: 30170-070</w:t>
      </w:r>
    </w:p>
    <w:p w14:paraId="4ABDE4BE" w14:textId="77777777" w:rsidR="005A0926" w:rsidRDefault="005A0926" w:rsidP="004B1E97">
      <w:pPr>
        <w:ind w:right="120" w:firstLine="0"/>
        <w:rPr>
          <w:rFonts w:ascii="Times New Roman" w:eastAsia="Times New Roman" w:hAnsi="Times New Roman" w:cs="Times New Roman"/>
          <w:sz w:val="24"/>
          <w:szCs w:val="24"/>
          <w:lang w:eastAsia="pt-BR"/>
        </w:rPr>
      </w:pPr>
    </w:p>
    <w:p w14:paraId="71FD3579" w14:textId="77777777" w:rsidR="006676D2" w:rsidRPr="00A06A31" w:rsidRDefault="006676D2" w:rsidP="004B1E97">
      <w:pPr>
        <w:ind w:right="120" w:firstLine="0"/>
        <w:rPr>
          <w:rFonts w:ascii="Times New Roman" w:eastAsia="Times New Roman" w:hAnsi="Times New Roman" w:cs="Times New Roman"/>
          <w:sz w:val="24"/>
          <w:szCs w:val="24"/>
          <w:lang w:eastAsia="pt-BR"/>
        </w:rPr>
      </w:pPr>
    </w:p>
    <w:p w14:paraId="19F944BE" w14:textId="77777777" w:rsidR="00A06A31" w:rsidRPr="005A0926" w:rsidRDefault="00BD3F43" w:rsidP="004B1E97">
      <w:pPr>
        <w:ind w:left="119" w:right="119" w:firstLine="0"/>
        <w:jc w:val="center"/>
        <w:rPr>
          <w:rFonts w:ascii="Times New Roman" w:eastAsia="Times New Roman" w:hAnsi="Times New Roman" w:cs="Times New Roman"/>
          <w:sz w:val="24"/>
          <w:szCs w:val="24"/>
          <w:lang w:eastAsia="pt-BR"/>
        </w:rPr>
      </w:pPr>
      <w:r w:rsidRPr="005A0926">
        <w:rPr>
          <w:rFonts w:ascii="Times New Roman" w:eastAsia="Times New Roman" w:hAnsi="Times New Roman" w:cs="Times New Roman"/>
          <w:color w:val="000000"/>
          <w:sz w:val="24"/>
          <w:szCs w:val="24"/>
          <w:lang w:eastAsia="pt-BR"/>
        </w:rPr>
        <w:t>Desembargador</w:t>
      </w:r>
      <w:r w:rsidR="00A06A31" w:rsidRPr="005A0926">
        <w:rPr>
          <w:rFonts w:ascii="Times New Roman" w:eastAsia="Times New Roman" w:hAnsi="Times New Roman" w:cs="Times New Roman"/>
          <w:color w:val="000000"/>
          <w:sz w:val="24"/>
          <w:szCs w:val="24"/>
          <w:lang w:eastAsia="pt-BR"/>
        </w:rPr>
        <w:t xml:space="preserve"> Federal </w:t>
      </w:r>
      <w:r w:rsidRPr="005A0926">
        <w:rPr>
          <w:rStyle w:val="Forte"/>
          <w:rFonts w:ascii="Times New Roman" w:hAnsi="Times New Roman" w:cs="Times New Roman"/>
          <w:color w:val="000000"/>
          <w:sz w:val="24"/>
          <w:szCs w:val="24"/>
        </w:rPr>
        <w:t>VALLISNEY OLIVEIRA</w:t>
      </w:r>
    </w:p>
    <w:p w14:paraId="0ACEE227" w14:textId="77777777" w:rsidR="00A06A31" w:rsidRPr="005A0926" w:rsidRDefault="00A06A31" w:rsidP="004B1E97">
      <w:pPr>
        <w:ind w:left="119" w:right="119" w:firstLine="0"/>
        <w:jc w:val="center"/>
        <w:rPr>
          <w:rFonts w:ascii="Times New Roman" w:eastAsia="Times New Roman" w:hAnsi="Times New Roman" w:cs="Times New Roman"/>
          <w:sz w:val="24"/>
          <w:szCs w:val="24"/>
          <w:lang w:eastAsia="pt-BR"/>
        </w:rPr>
      </w:pPr>
      <w:r w:rsidRPr="005A0926">
        <w:rPr>
          <w:rFonts w:ascii="Times New Roman" w:eastAsia="Times New Roman" w:hAnsi="Times New Roman" w:cs="Times New Roman"/>
          <w:color w:val="000000"/>
          <w:sz w:val="24"/>
          <w:szCs w:val="24"/>
          <w:lang w:eastAsia="pt-BR"/>
        </w:rPr>
        <w:t>Presidente</w:t>
      </w:r>
    </w:p>
    <w:p w14:paraId="078E6AF9" w14:textId="4EA50338" w:rsidR="006676D2" w:rsidRPr="005A0926" w:rsidRDefault="006676D2" w:rsidP="008E3F6E">
      <w:pPr>
        <w:ind w:right="119" w:firstLine="0"/>
        <w:rPr>
          <w:rFonts w:ascii="Times New Roman" w:eastAsia="Times New Roman" w:hAnsi="Times New Roman" w:cs="Times New Roman"/>
          <w:sz w:val="24"/>
          <w:szCs w:val="24"/>
          <w:lang w:eastAsia="pt-BR"/>
        </w:rPr>
      </w:pPr>
    </w:p>
    <w:p w14:paraId="7DAA828F" w14:textId="77777777" w:rsidR="00A06A31" w:rsidRPr="005A0926" w:rsidRDefault="00A06A31" w:rsidP="004B1E97">
      <w:pPr>
        <w:ind w:left="120" w:right="120" w:firstLine="0"/>
        <w:jc w:val="center"/>
        <w:rPr>
          <w:rFonts w:ascii="Times New Roman" w:eastAsia="Times New Roman" w:hAnsi="Times New Roman" w:cs="Times New Roman"/>
          <w:sz w:val="24"/>
          <w:szCs w:val="24"/>
          <w:lang w:eastAsia="pt-BR"/>
        </w:rPr>
      </w:pPr>
      <w:r w:rsidRPr="005A0926">
        <w:rPr>
          <w:rFonts w:ascii="Times New Roman" w:eastAsia="Times New Roman" w:hAnsi="Times New Roman" w:cs="Times New Roman"/>
          <w:b/>
          <w:bCs/>
          <w:color w:val="000000"/>
          <w:sz w:val="24"/>
          <w:szCs w:val="24"/>
          <w:lang w:eastAsia="pt-BR"/>
        </w:rPr>
        <w:t>Equipe de Auditoria Interna da SECAU</w:t>
      </w:r>
    </w:p>
    <w:p w14:paraId="115F9952" w14:textId="77777777" w:rsidR="00A06A31" w:rsidRPr="005A0926" w:rsidRDefault="00A06A31" w:rsidP="004B1E97">
      <w:pPr>
        <w:ind w:left="119" w:right="119"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Antônio Fernando Alves da Gama Moraes</w:t>
      </w:r>
    </w:p>
    <w:p w14:paraId="1B898B86" w14:textId="77777777" w:rsidR="00A06A31" w:rsidRPr="005A0926" w:rsidRDefault="00A06A31" w:rsidP="004B1E97">
      <w:pPr>
        <w:ind w:left="119" w:right="119"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Cristiano Amaro</w:t>
      </w:r>
    </w:p>
    <w:p w14:paraId="06BA5805" w14:textId="77777777" w:rsidR="00A06A31" w:rsidRPr="005A0926" w:rsidRDefault="00A06A31" w:rsidP="004B1E97">
      <w:pPr>
        <w:ind w:left="119" w:right="119"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Daniel Silva de Oliveira</w:t>
      </w:r>
    </w:p>
    <w:p w14:paraId="35CF5E1B" w14:textId="77777777" w:rsidR="00A06A31" w:rsidRPr="005A0926" w:rsidRDefault="00A06A31" w:rsidP="004B1E97">
      <w:pPr>
        <w:ind w:left="119" w:right="119"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Karla Pereira de Lima</w:t>
      </w:r>
    </w:p>
    <w:p w14:paraId="6F5A04AD" w14:textId="77777777" w:rsidR="00A06A31" w:rsidRPr="005A0926" w:rsidRDefault="00A06A31" w:rsidP="004B1E97">
      <w:pPr>
        <w:ind w:left="119" w:right="119"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Maria Tereza Barcelos Martins</w:t>
      </w:r>
    </w:p>
    <w:p w14:paraId="6B725D00" w14:textId="77777777" w:rsidR="00A06A31" w:rsidRPr="005A0926" w:rsidRDefault="00A06A31" w:rsidP="004B1E97">
      <w:pPr>
        <w:ind w:left="119" w:right="119"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Marília do Sagrado Coração Aarão Rocha</w:t>
      </w:r>
    </w:p>
    <w:p w14:paraId="1D66C875" w14:textId="77777777" w:rsidR="00A06A31" w:rsidRPr="005A0926" w:rsidRDefault="00A06A31" w:rsidP="004B1E97">
      <w:pPr>
        <w:ind w:left="119" w:right="119"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Natália Areta de Almeida</w:t>
      </w:r>
    </w:p>
    <w:p w14:paraId="0B24E2EF" w14:textId="77777777" w:rsidR="00A06A31" w:rsidRPr="005A0926" w:rsidRDefault="00A06A31" w:rsidP="004B1E97">
      <w:pPr>
        <w:ind w:left="119" w:right="119" w:firstLine="0"/>
        <w:jc w:val="center"/>
        <w:rPr>
          <w:rFonts w:ascii="Times New Roman" w:eastAsia="Times New Roman" w:hAnsi="Times New Roman" w:cs="Times New Roman"/>
          <w:lang w:eastAsia="pt-BR"/>
        </w:rPr>
      </w:pPr>
      <w:r w:rsidRPr="005A0926">
        <w:rPr>
          <w:rFonts w:ascii="Times New Roman" w:eastAsia="Times New Roman" w:hAnsi="Times New Roman" w:cs="Times New Roman"/>
          <w:color w:val="000000"/>
          <w:lang w:eastAsia="pt-BR"/>
        </w:rPr>
        <w:t>Simone Fialho Teixeira Abreu</w:t>
      </w:r>
    </w:p>
    <w:p w14:paraId="2122A7AB" w14:textId="77777777" w:rsidR="001C4932" w:rsidRPr="005A0926" w:rsidRDefault="00A06A31" w:rsidP="004B1E97">
      <w:pPr>
        <w:ind w:left="119" w:right="119" w:firstLine="0"/>
        <w:jc w:val="center"/>
        <w:rPr>
          <w:rFonts w:ascii="Times New Roman" w:eastAsia="Times New Roman" w:hAnsi="Times New Roman" w:cs="Times New Roman"/>
          <w:color w:val="000000"/>
          <w:lang w:eastAsia="pt-BR"/>
        </w:rPr>
      </w:pPr>
      <w:r w:rsidRPr="005A0926">
        <w:rPr>
          <w:rFonts w:ascii="Times New Roman" w:eastAsia="Times New Roman" w:hAnsi="Times New Roman" w:cs="Times New Roman"/>
          <w:color w:val="000000"/>
          <w:lang w:eastAsia="pt-BR"/>
        </w:rPr>
        <w:t>Sônia Maria dos Santos Lopes</w:t>
      </w:r>
    </w:p>
    <w:p w14:paraId="4987117A" w14:textId="77777777" w:rsidR="00FB4DBF" w:rsidRPr="005A0926" w:rsidRDefault="00FB4DBF" w:rsidP="004B1E97">
      <w:pPr>
        <w:ind w:left="119" w:right="119" w:firstLine="0"/>
        <w:jc w:val="center"/>
        <w:rPr>
          <w:rFonts w:ascii="Times New Roman" w:eastAsia="Times New Roman" w:hAnsi="Times New Roman" w:cs="Times New Roman"/>
          <w:lang w:eastAsia="pt-BR"/>
        </w:rPr>
      </w:pPr>
      <w:proofErr w:type="spellStart"/>
      <w:r w:rsidRPr="005A0926">
        <w:rPr>
          <w:rFonts w:ascii="Times New Roman" w:eastAsia="Times New Roman" w:hAnsi="Times New Roman" w:cs="Times New Roman"/>
          <w:color w:val="000000"/>
          <w:lang w:eastAsia="pt-BR"/>
        </w:rPr>
        <w:t>Wanderlene</w:t>
      </w:r>
      <w:proofErr w:type="spellEnd"/>
      <w:r w:rsidRPr="005A0926">
        <w:rPr>
          <w:rFonts w:ascii="Times New Roman" w:eastAsia="Times New Roman" w:hAnsi="Times New Roman" w:cs="Times New Roman"/>
          <w:color w:val="000000"/>
          <w:lang w:eastAsia="pt-BR"/>
        </w:rPr>
        <w:t xml:space="preserve"> Maria Santos Brandão</w:t>
      </w:r>
    </w:p>
    <w:p w14:paraId="5DB664AA" w14:textId="1FFBA8D3" w:rsidR="001C4932" w:rsidRPr="00DE360C" w:rsidRDefault="00DE360C" w:rsidP="004B1E97">
      <w:pPr>
        <w:ind w:left="119" w:right="119" w:firstLine="0"/>
        <w:jc w:val="center"/>
        <w:rPr>
          <w:rFonts w:ascii="Times New Roman" w:eastAsia="Times New Roman" w:hAnsi="Times New Roman" w:cs="Times New Roman"/>
          <w:color w:val="000000"/>
          <w:lang w:eastAsia="pt-BR"/>
        </w:rPr>
      </w:pPr>
      <w:proofErr w:type="spellStart"/>
      <w:r w:rsidRPr="00DE360C">
        <w:rPr>
          <w:rFonts w:ascii="Times New Roman" w:eastAsia="Times New Roman" w:hAnsi="Times New Roman" w:cs="Times New Roman"/>
          <w:color w:val="000000"/>
          <w:lang w:eastAsia="pt-BR"/>
        </w:rPr>
        <w:t>Jeferton</w:t>
      </w:r>
      <w:proofErr w:type="spellEnd"/>
      <w:r w:rsidRPr="00DE360C">
        <w:rPr>
          <w:rFonts w:ascii="Times New Roman" w:eastAsia="Times New Roman" w:hAnsi="Times New Roman" w:cs="Times New Roman"/>
          <w:color w:val="000000"/>
          <w:lang w:eastAsia="pt-BR"/>
        </w:rPr>
        <w:t xml:space="preserve"> Gomes Fernandes de Oliveira (estagiário)</w:t>
      </w:r>
    </w:p>
    <w:p w14:paraId="5AA875B2" w14:textId="77777777" w:rsidR="00DE360C" w:rsidRPr="00DE360C" w:rsidRDefault="00DE360C" w:rsidP="004B1E97">
      <w:pPr>
        <w:ind w:left="119" w:right="119" w:firstLine="0"/>
        <w:jc w:val="center"/>
        <w:rPr>
          <w:rFonts w:ascii="Times New Roman" w:eastAsia="Times New Roman" w:hAnsi="Times New Roman" w:cs="Times New Roman"/>
          <w:color w:val="000000"/>
          <w:lang w:eastAsia="pt-BR"/>
        </w:rPr>
      </w:pPr>
    </w:p>
    <w:p w14:paraId="3940A473" w14:textId="2A88BC31" w:rsidR="00FA7342" w:rsidRPr="00DE7467" w:rsidRDefault="00A06A31" w:rsidP="004B1E97">
      <w:pPr>
        <w:ind w:left="119" w:right="119" w:firstLine="0"/>
        <w:jc w:val="center"/>
        <w:rPr>
          <w:rFonts w:ascii="Times New Roman" w:eastAsia="Times New Roman" w:hAnsi="Times New Roman" w:cs="Times New Roman"/>
          <w:sz w:val="24"/>
          <w:szCs w:val="24"/>
          <w:lang w:eastAsia="pt-BR"/>
        </w:rPr>
      </w:pPr>
      <w:r w:rsidRPr="00DE7467">
        <w:rPr>
          <w:rFonts w:ascii="Times New Roman" w:eastAsia="Times New Roman" w:hAnsi="Times New Roman" w:cs="Times New Roman"/>
          <w:b/>
          <w:bCs/>
          <w:color w:val="000000"/>
          <w:sz w:val="24"/>
          <w:szCs w:val="24"/>
          <w:lang w:eastAsia="pt-BR"/>
        </w:rPr>
        <w:t>Luiz Guilherme Piva</w:t>
      </w:r>
    </w:p>
    <w:p w14:paraId="7FF1AFAF" w14:textId="77777777" w:rsidR="00A06A31" w:rsidRPr="00DE7467" w:rsidRDefault="00A06A31" w:rsidP="004B1E97">
      <w:pPr>
        <w:ind w:left="119" w:right="119" w:firstLine="0"/>
        <w:jc w:val="center"/>
        <w:rPr>
          <w:rFonts w:ascii="Times New Roman" w:eastAsia="Times New Roman" w:hAnsi="Times New Roman" w:cs="Times New Roman"/>
          <w:sz w:val="24"/>
          <w:szCs w:val="24"/>
          <w:lang w:eastAsia="pt-BR"/>
        </w:rPr>
      </w:pPr>
      <w:r w:rsidRPr="00DE7467">
        <w:rPr>
          <w:rFonts w:ascii="Times New Roman" w:eastAsia="Times New Roman" w:hAnsi="Times New Roman" w:cs="Times New Roman"/>
          <w:color w:val="000000"/>
          <w:sz w:val="24"/>
          <w:szCs w:val="24"/>
          <w:lang w:eastAsia="pt-BR"/>
        </w:rPr>
        <w:t>Diretor da SECAU</w:t>
      </w:r>
    </w:p>
    <w:p w14:paraId="75EDB998" w14:textId="77777777" w:rsidR="001C11C3" w:rsidRPr="005A0926" w:rsidRDefault="001C11C3" w:rsidP="004B1E97">
      <w:pPr>
        <w:ind w:left="119" w:right="119" w:firstLine="0"/>
        <w:jc w:val="center"/>
        <w:rPr>
          <w:rFonts w:ascii="Times New Roman" w:eastAsia="Times New Roman" w:hAnsi="Times New Roman" w:cs="Times New Roman"/>
          <w:sz w:val="24"/>
          <w:szCs w:val="24"/>
          <w:lang w:eastAsia="pt-BR"/>
        </w:rPr>
      </w:pPr>
    </w:p>
    <w:p w14:paraId="3BF5E126" w14:textId="758ED086" w:rsidR="004B7AF7" w:rsidRPr="005A0926" w:rsidRDefault="005A1B7F" w:rsidP="00342B5B">
      <w:pPr>
        <w:ind w:left="120" w:right="120" w:firstLine="0"/>
        <w:jc w:val="center"/>
        <w:rPr>
          <w:rFonts w:ascii="Times New Roman" w:eastAsia="Times New Roman" w:hAnsi="Times New Roman" w:cs="Times New Roman"/>
          <w:b/>
          <w:bCs/>
          <w:color w:val="000000"/>
          <w:sz w:val="24"/>
          <w:szCs w:val="24"/>
          <w:lang w:eastAsia="pt-BR"/>
        </w:rPr>
      </w:pPr>
      <w:r w:rsidRPr="005A0926">
        <w:rPr>
          <w:rFonts w:ascii="Times New Roman" w:eastAsia="Times New Roman" w:hAnsi="Times New Roman" w:cs="Times New Roman"/>
          <w:b/>
          <w:bCs/>
          <w:color w:val="000000"/>
          <w:sz w:val="24"/>
          <w:szCs w:val="24"/>
          <w:lang w:eastAsia="pt-BR"/>
        </w:rPr>
        <w:t>Belo Horizonte/202</w:t>
      </w:r>
      <w:r w:rsidR="000560F8">
        <w:rPr>
          <w:rFonts w:ascii="Times New Roman" w:eastAsia="Times New Roman" w:hAnsi="Times New Roman" w:cs="Times New Roman"/>
          <w:b/>
          <w:bCs/>
          <w:color w:val="000000"/>
          <w:sz w:val="24"/>
          <w:szCs w:val="24"/>
          <w:lang w:eastAsia="pt-BR"/>
        </w:rPr>
        <w:t>6</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4762"/>
        <w:gridCol w:w="4582"/>
      </w:tblGrid>
      <w:tr w:rsidR="00DD2616" w:rsidRPr="00094305" w14:paraId="29CBC957" w14:textId="77777777" w:rsidTr="00514670">
        <w:trPr>
          <w:tblCellSpacing w:w="7" w:type="dxa"/>
          <w:jc w:val="center"/>
        </w:trPr>
        <w:tc>
          <w:tcPr>
            <w:tcW w:w="0" w:type="auto"/>
            <w:gridSpan w:val="2"/>
            <w:shd w:val="clear" w:color="auto" w:fill="EDEDED" w:themeFill="accent3" w:themeFillTint="33"/>
            <w:vAlign w:val="bottom"/>
            <w:hideMark/>
          </w:tcPr>
          <w:p w14:paraId="62CB3C0E" w14:textId="77777777" w:rsidR="00FE72C9" w:rsidRPr="00EE1BF7" w:rsidRDefault="00094305" w:rsidP="00447690">
            <w:pPr>
              <w:pStyle w:val="tabelatextocentralizado"/>
              <w:spacing w:before="0" w:beforeAutospacing="0" w:after="0" w:afterAutospacing="0"/>
              <w:ind w:left="113" w:right="113" w:firstLine="0"/>
              <w:jc w:val="center"/>
              <w:rPr>
                <w:b/>
                <w:bCs/>
                <w:color w:val="ECF0F1"/>
                <w:sz w:val="28"/>
                <w:szCs w:val="28"/>
              </w:rPr>
            </w:pPr>
            <w:r w:rsidRPr="00FD539F">
              <w:rPr>
                <w:rStyle w:val="Forte"/>
                <w:sz w:val="28"/>
                <w:szCs w:val="28"/>
              </w:rPr>
              <w:lastRenderedPageBreak/>
              <w:t>SUMÁRIO EXECUTIVO</w:t>
            </w:r>
          </w:p>
        </w:tc>
      </w:tr>
      <w:tr w:rsidR="00DD2616" w:rsidRPr="00094305" w14:paraId="1817AA6B" w14:textId="77777777" w:rsidTr="00447690">
        <w:trPr>
          <w:trHeight w:val="1712"/>
          <w:tblCellSpacing w:w="7" w:type="dxa"/>
          <w:jc w:val="center"/>
        </w:trPr>
        <w:tc>
          <w:tcPr>
            <w:tcW w:w="4369" w:type="dxa"/>
            <w:vAlign w:val="center"/>
            <w:hideMark/>
          </w:tcPr>
          <w:p w14:paraId="09F7E9CC" w14:textId="77777777" w:rsidR="00094305" w:rsidRPr="00DD2616" w:rsidRDefault="00DD2616" w:rsidP="00447690">
            <w:pPr>
              <w:ind w:left="113" w:right="113" w:firstLine="0"/>
            </w:pPr>
            <w:r w:rsidRPr="00DD2616">
              <w:rPr>
                <w:noProof/>
                <w:lang w:eastAsia="pt-BR"/>
              </w:rPr>
              <w:drawing>
                <wp:anchor distT="0" distB="0" distL="114300" distR="114300" simplePos="0" relativeHeight="251659264" behindDoc="0" locked="0" layoutInCell="1" allowOverlap="1" wp14:anchorId="65858F8B" wp14:editId="4FE0BF02">
                  <wp:simplePos x="0" y="0"/>
                  <wp:positionH relativeFrom="column">
                    <wp:posOffset>146050</wp:posOffset>
                  </wp:positionH>
                  <wp:positionV relativeFrom="paragraph">
                    <wp:posOffset>-10160</wp:posOffset>
                  </wp:positionV>
                  <wp:extent cx="2980055" cy="949960"/>
                  <wp:effectExtent l="0" t="0" r="0" b="254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0055" cy="949960"/>
                          </a:xfrm>
                          <a:prstGeom prst="rect">
                            <a:avLst/>
                          </a:prstGeom>
                        </pic:spPr>
                      </pic:pic>
                    </a:graphicData>
                  </a:graphic>
                  <wp14:sizeRelH relativeFrom="margin">
                    <wp14:pctWidth>0</wp14:pctWidth>
                  </wp14:sizeRelH>
                  <wp14:sizeRelV relativeFrom="margin">
                    <wp14:pctHeight>0</wp14:pctHeight>
                  </wp14:sizeRelV>
                </wp:anchor>
              </w:drawing>
            </w:r>
          </w:p>
        </w:tc>
        <w:tc>
          <w:tcPr>
            <w:tcW w:w="4933" w:type="dxa"/>
            <w:vAlign w:val="center"/>
            <w:hideMark/>
          </w:tcPr>
          <w:p w14:paraId="06D0ECC3" w14:textId="4C88BC17" w:rsidR="00094305" w:rsidRPr="001870E8" w:rsidRDefault="00094305" w:rsidP="00795CAA">
            <w:pPr>
              <w:pStyle w:val="tabelatextocentralizado"/>
              <w:spacing w:before="0" w:beforeAutospacing="0" w:after="0" w:afterAutospacing="0"/>
              <w:ind w:left="113" w:right="113" w:firstLine="0"/>
              <w:jc w:val="center"/>
            </w:pPr>
            <w:r w:rsidRPr="001870E8">
              <w:rPr>
                <w:rStyle w:val="Forte"/>
                <w:color w:val="0000CC"/>
              </w:rPr>
              <w:t xml:space="preserve">AUDITORIA NAS CONTAS ANUAIS - FINANCEIRA INTEGRADA COM CONFORMIDADE - </w:t>
            </w:r>
            <w:r w:rsidR="006041F6" w:rsidRPr="001870E8">
              <w:rPr>
                <w:rStyle w:val="Forte"/>
                <w:color w:val="0000CC"/>
              </w:rPr>
              <w:t>EXERCÍCIO DE 202</w:t>
            </w:r>
            <w:r w:rsidR="000560F8">
              <w:rPr>
                <w:rStyle w:val="Forte"/>
                <w:color w:val="0000CC"/>
              </w:rPr>
              <w:t>5</w:t>
            </w:r>
          </w:p>
        </w:tc>
      </w:tr>
      <w:tr w:rsidR="00DD2616" w:rsidRPr="00094305" w14:paraId="3349A36A" w14:textId="77777777" w:rsidTr="00447690">
        <w:trPr>
          <w:tblCellSpacing w:w="7" w:type="dxa"/>
          <w:jc w:val="center"/>
        </w:trPr>
        <w:tc>
          <w:tcPr>
            <w:tcW w:w="4369" w:type="dxa"/>
            <w:hideMark/>
          </w:tcPr>
          <w:p w14:paraId="5EF1797A" w14:textId="77777777" w:rsidR="00737E8D" w:rsidRPr="005B741D" w:rsidRDefault="00737E8D" w:rsidP="00447690">
            <w:pPr>
              <w:pStyle w:val="tabelatextocentralizado"/>
              <w:spacing w:before="0" w:beforeAutospacing="0" w:after="0" w:afterAutospacing="0"/>
              <w:ind w:left="113" w:right="113" w:firstLine="0"/>
              <w:jc w:val="center"/>
              <w:rPr>
                <w:rStyle w:val="Forte"/>
                <w:color w:val="0000CC"/>
              </w:rPr>
            </w:pPr>
          </w:p>
          <w:p w14:paraId="70CE1668" w14:textId="77777777" w:rsidR="00F017EA" w:rsidRPr="005B741D" w:rsidRDefault="00094305" w:rsidP="00447690">
            <w:pPr>
              <w:pStyle w:val="tabelatextocentralizado"/>
              <w:spacing w:before="0" w:beforeAutospacing="0" w:after="0" w:afterAutospacing="0"/>
              <w:ind w:left="113" w:right="113" w:firstLine="0"/>
              <w:jc w:val="center"/>
              <w:rPr>
                <w:rStyle w:val="Forte"/>
                <w:color w:val="0000CC"/>
              </w:rPr>
            </w:pPr>
            <w:r w:rsidRPr="005B741D">
              <w:rPr>
                <w:rStyle w:val="Forte"/>
                <w:color w:val="0000CC"/>
              </w:rPr>
              <w:t>O QUE A SECAU AUDITOU?</w:t>
            </w:r>
          </w:p>
          <w:p w14:paraId="2D3E92DC" w14:textId="27DA5113" w:rsidR="00F017EA" w:rsidRPr="005B741D" w:rsidRDefault="00094305" w:rsidP="005743F9">
            <w:pPr>
              <w:pStyle w:val="tabelatextocentralizado"/>
              <w:spacing w:before="240" w:beforeAutospacing="0" w:after="0" w:afterAutospacing="0"/>
              <w:ind w:right="113" w:firstLine="0"/>
              <w:jc w:val="both"/>
              <w:outlineLvl w:val="0"/>
            </w:pPr>
            <w:r w:rsidRPr="005B741D">
              <w:t>A Secretaria de Auditoria Interna - SECAU realizou auditoria financeira integrada com conformidade nas conta</w:t>
            </w:r>
            <w:r w:rsidR="0076228A" w:rsidRPr="005B741D">
              <w:t>s relativas ao exercício de 202</w:t>
            </w:r>
            <w:r w:rsidR="000560F8">
              <w:t>5</w:t>
            </w:r>
            <w:r w:rsidRPr="005B741D">
              <w:t xml:space="preserve"> do Tribunal Regional Federal da 6ª Região, com o objetivo de expressar opinião sobre se as demonstrações contábeis, financeiras e orçamentárias estão livres de distorção relevante, de acordo com as práticas contábeis adotadas no Brasil aplicadas ao setor público, e se as operações, transações </w:t>
            </w:r>
            <w:r w:rsidR="0046597E" w:rsidRPr="005B741D">
              <w:t xml:space="preserve">e </w:t>
            </w:r>
            <w:r w:rsidRPr="005B741D">
              <w:t>atos de gestão relevantes dos responsáveis estão em conformidade com as leis e regulamentos aplicáveis e com os princípios de administração pública que regem a gestão financeira responsável e a conduta de agentes públicos, conforme estabelecido no § 4º, incisos I e II</w:t>
            </w:r>
            <w:r w:rsidR="00CB257B" w:rsidRPr="005B741D">
              <w:t>,</w:t>
            </w:r>
            <w:r w:rsidRPr="005B741D">
              <w:t xml:space="preserve"> do art. 14, c/c art. 13 da </w:t>
            </w:r>
            <w:hyperlink r:id="rId8" w:tgtFrame="_blank" w:history="1">
              <w:r w:rsidRPr="005B741D">
                <w:rPr>
                  <w:rStyle w:val="Hyperlink"/>
                </w:rPr>
                <w:t>Instrução</w:t>
              </w:r>
            </w:hyperlink>
            <w:r w:rsidRPr="005B741D">
              <w:t xml:space="preserve"> </w:t>
            </w:r>
            <w:hyperlink r:id="rId9" w:tgtFrame="_blank" w:history="1">
              <w:r w:rsidRPr="005B741D">
                <w:rPr>
                  <w:rStyle w:val="Hyperlink"/>
                </w:rPr>
                <w:t>Normativa TCU nº 84/2020,</w:t>
              </w:r>
            </w:hyperlink>
            <w:r w:rsidRPr="005B741D">
              <w:t xml:space="preserve"> de 22 de abril de 2020.</w:t>
            </w:r>
          </w:p>
          <w:p w14:paraId="5494DE28" w14:textId="643FA5BD" w:rsidR="00094305" w:rsidRPr="005B741D" w:rsidRDefault="00094305" w:rsidP="00447690">
            <w:pPr>
              <w:pStyle w:val="tabelatextocentralizado"/>
              <w:spacing w:before="240" w:beforeAutospacing="0" w:after="0" w:afterAutospacing="0"/>
              <w:ind w:left="113" w:right="113" w:firstLine="0"/>
              <w:jc w:val="both"/>
              <w:outlineLvl w:val="0"/>
            </w:pPr>
            <w:r w:rsidRPr="005B741D">
              <w:t>A au</w:t>
            </w:r>
            <w:r w:rsidR="0076228A" w:rsidRPr="005B741D">
              <w:t>ditoria, realizada de 01/08/202</w:t>
            </w:r>
            <w:r w:rsidR="000560F8">
              <w:t>5</w:t>
            </w:r>
            <w:r w:rsidR="001228D4" w:rsidRPr="005B741D">
              <w:t xml:space="preserve"> a </w:t>
            </w:r>
            <w:r w:rsidR="00187501">
              <w:t>25</w:t>
            </w:r>
            <w:r w:rsidR="001228D4" w:rsidRPr="005B741D">
              <w:t>/03/202</w:t>
            </w:r>
            <w:r w:rsidR="000560F8">
              <w:t>6</w:t>
            </w:r>
            <w:r w:rsidRPr="005B741D">
              <w:t>, foi conduzida de acordo com as normas brasileiras e internacionais de auditoria do setor público.</w:t>
            </w:r>
          </w:p>
          <w:p w14:paraId="6E1B955F" w14:textId="77777777" w:rsidR="00094305" w:rsidRPr="005B741D" w:rsidRDefault="00F017EA" w:rsidP="00447690">
            <w:pPr>
              <w:pStyle w:val="tabelatextocentralizado"/>
              <w:spacing w:before="0" w:beforeAutospacing="0" w:after="0" w:afterAutospacing="0"/>
              <w:ind w:left="113" w:right="113" w:firstLine="0"/>
              <w:jc w:val="center"/>
            </w:pPr>
            <w:r w:rsidRPr="005B741D">
              <w:rPr>
                <w:rStyle w:val="Forte"/>
                <w:color w:val="0000CC"/>
              </w:rPr>
              <w:t>_____________________</w:t>
            </w:r>
            <w:r w:rsidR="00514670">
              <w:rPr>
                <w:rStyle w:val="Forte"/>
                <w:color w:val="0000CC"/>
              </w:rPr>
              <w:t>___________</w:t>
            </w:r>
          </w:p>
          <w:p w14:paraId="333E4C7B" w14:textId="77777777" w:rsidR="00046295" w:rsidRPr="005B741D" w:rsidRDefault="00046295" w:rsidP="00447690">
            <w:pPr>
              <w:pStyle w:val="tabelatextocentralizado"/>
              <w:spacing w:before="0" w:beforeAutospacing="0" w:after="0" w:afterAutospacing="0"/>
              <w:ind w:left="113" w:right="113" w:firstLine="0"/>
              <w:jc w:val="center"/>
              <w:rPr>
                <w:rStyle w:val="Forte"/>
                <w:color w:val="0000CC"/>
              </w:rPr>
            </w:pPr>
          </w:p>
          <w:p w14:paraId="7808E4F8" w14:textId="77777777" w:rsidR="00094305" w:rsidRPr="005B741D" w:rsidRDefault="00094305" w:rsidP="00447690">
            <w:pPr>
              <w:pStyle w:val="tabelatextocentralizado"/>
              <w:spacing w:before="0" w:beforeAutospacing="0" w:after="0" w:afterAutospacing="0"/>
              <w:ind w:left="113" w:right="113" w:firstLine="0"/>
              <w:jc w:val="center"/>
              <w:rPr>
                <w:rStyle w:val="Forte"/>
                <w:color w:val="0000CC"/>
              </w:rPr>
            </w:pPr>
            <w:r w:rsidRPr="005B741D">
              <w:rPr>
                <w:rStyle w:val="Forte"/>
                <w:color w:val="0000CC"/>
              </w:rPr>
              <w:t>VOLUME DE RECURSOS AUDITADOS</w:t>
            </w:r>
          </w:p>
          <w:p w14:paraId="0844F994" w14:textId="1E9BE41F" w:rsidR="00E76B1D" w:rsidRPr="005B741D" w:rsidRDefault="00A365C9" w:rsidP="00447690">
            <w:pPr>
              <w:spacing w:before="240"/>
              <w:ind w:left="113" w:right="113" w:firstLine="0"/>
              <w:jc w:val="both"/>
              <w:rPr>
                <w:rFonts w:ascii="Times New Roman" w:eastAsia="Times New Roman" w:hAnsi="Times New Roman" w:cs="Times New Roman"/>
                <w:bCs/>
                <w:sz w:val="24"/>
                <w:szCs w:val="24"/>
                <w:lang w:eastAsia="pt-BR"/>
              </w:rPr>
            </w:pPr>
            <w:r w:rsidRPr="005B741D">
              <w:rPr>
                <w:rFonts w:ascii="Times New Roman" w:eastAsia="Times New Roman" w:hAnsi="Times New Roman" w:cs="Times New Roman"/>
                <w:bCs/>
                <w:sz w:val="24"/>
                <w:szCs w:val="24"/>
                <w:lang w:eastAsia="pt-BR"/>
              </w:rPr>
              <w:t>O volume de recursos auditados sob a ótica orçamentária (natureza da despesa) no tocante às despesas de pessoal, contratações e precatórios, relativas ao exercício de 202</w:t>
            </w:r>
            <w:r w:rsidR="000560F8">
              <w:rPr>
                <w:rFonts w:ascii="Times New Roman" w:eastAsia="Times New Roman" w:hAnsi="Times New Roman" w:cs="Times New Roman"/>
                <w:bCs/>
                <w:sz w:val="24"/>
                <w:szCs w:val="24"/>
                <w:lang w:eastAsia="pt-BR"/>
              </w:rPr>
              <w:t>5</w:t>
            </w:r>
            <w:r w:rsidRPr="005B741D">
              <w:rPr>
                <w:rFonts w:ascii="Times New Roman" w:eastAsia="Times New Roman" w:hAnsi="Times New Roman" w:cs="Times New Roman"/>
                <w:bCs/>
                <w:sz w:val="24"/>
                <w:szCs w:val="24"/>
                <w:lang w:eastAsia="pt-BR"/>
              </w:rPr>
              <w:t>, alcançou o montante de </w:t>
            </w:r>
            <w:r w:rsidR="000079EE">
              <w:rPr>
                <w:rFonts w:ascii="Times New Roman" w:eastAsia="Times New Roman" w:hAnsi="Times New Roman" w:cs="Times New Roman"/>
                <w:b/>
                <w:bCs/>
                <w:sz w:val="24"/>
                <w:szCs w:val="24"/>
                <w:lang w:eastAsia="pt-BR"/>
              </w:rPr>
              <w:t>R$ 6.16</w:t>
            </w:r>
            <w:r w:rsidR="0075163A">
              <w:rPr>
                <w:rFonts w:ascii="Times New Roman" w:eastAsia="Times New Roman" w:hAnsi="Times New Roman" w:cs="Times New Roman"/>
                <w:b/>
                <w:bCs/>
                <w:sz w:val="24"/>
                <w:szCs w:val="24"/>
                <w:lang w:eastAsia="pt-BR"/>
              </w:rPr>
              <w:t>9</w:t>
            </w:r>
            <w:r w:rsidR="000079EE">
              <w:rPr>
                <w:rFonts w:ascii="Times New Roman" w:eastAsia="Times New Roman" w:hAnsi="Times New Roman" w:cs="Times New Roman"/>
                <w:b/>
                <w:bCs/>
                <w:sz w:val="24"/>
                <w:szCs w:val="24"/>
                <w:lang w:eastAsia="pt-BR"/>
              </w:rPr>
              <w:t>.</w:t>
            </w:r>
            <w:r w:rsidR="0075163A">
              <w:rPr>
                <w:rFonts w:ascii="Times New Roman" w:eastAsia="Times New Roman" w:hAnsi="Times New Roman" w:cs="Times New Roman"/>
                <w:b/>
                <w:bCs/>
                <w:sz w:val="24"/>
                <w:szCs w:val="24"/>
                <w:lang w:eastAsia="pt-BR"/>
              </w:rPr>
              <w:t>111</w:t>
            </w:r>
            <w:r w:rsidR="000079EE">
              <w:rPr>
                <w:rFonts w:ascii="Times New Roman" w:eastAsia="Times New Roman" w:hAnsi="Times New Roman" w:cs="Times New Roman"/>
                <w:b/>
                <w:bCs/>
                <w:sz w:val="24"/>
                <w:szCs w:val="24"/>
                <w:lang w:eastAsia="pt-BR"/>
              </w:rPr>
              <w:t>.</w:t>
            </w:r>
            <w:r w:rsidR="0075163A">
              <w:rPr>
                <w:rFonts w:ascii="Times New Roman" w:eastAsia="Times New Roman" w:hAnsi="Times New Roman" w:cs="Times New Roman"/>
                <w:b/>
                <w:bCs/>
                <w:sz w:val="24"/>
                <w:szCs w:val="24"/>
                <w:lang w:eastAsia="pt-BR"/>
              </w:rPr>
              <w:t>071</w:t>
            </w:r>
            <w:r w:rsidR="000079EE">
              <w:rPr>
                <w:rFonts w:ascii="Times New Roman" w:eastAsia="Times New Roman" w:hAnsi="Times New Roman" w:cs="Times New Roman"/>
                <w:b/>
                <w:bCs/>
                <w:sz w:val="24"/>
                <w:szCs w:val="24"/>
                <w:lang w:eastAsia="pt-BR"/>
              </w:rPr>
              <w:t>,</w:t>
            </w:r>
            <w:r w:rsidR="0075163A">
              <w:rPr>
                <w:rFonts w:ascii="Times New Roman" w:eastAsia="Times New Roman" w:hAnsi="Times New Roman" w:cs="Times New Roman"/>
                <w:b/>
                <w:bCs/>
                <w:sz w:val="24"/>
                <w:szCs w:val="24"/>
                <w:lang w:eastAsia="pt-BR"/>
              </w:rPr>
              <w:t>94</w:t>
            </w:r>
            <w:r w:rsidR="000079EE" w:rsidRPr="00A61C3A">
              <w:rPr>
                <w:rFonts w:ascii="Times New Roman" w:eastAsia="Times New Roman" w:hAnsi="Times New Roman" w:cs="Times New Roman"/>
                <w:sz w:val="24"/>
                <w:szCs w:val="24"/>
                <w:lang w:eastAsia="pt-BR"/>
              </w:rPr>
              <w:t xml:space="preserve"> (</w:t>
            </w:r>
            <w:r w:rsidR="000079EE">
              <w:rPr>
                <w:rFonts w:ascii="Times New Roman" w:eastAsia="Times New Roman" w:hAnsi="Times New Roman" w:cs="Times New Roman"/>
                <w:sz w:val="24"/>
                <w:szCs w:val="24"/>
                <w:lang w:eastAsia="pt-BR"/>
              </w:rPr>
              <w:t>seis bilhões</w:t>
            </w:r>
            <w:r w:rsidR="008A715E">
              <w:rPr>
                <w:rFonts w:ascii="Times New Roman" w:eastAsia="Times New Roman" w:hAnsi="Times New Roman" w:cs="Times New Roman"/>
                <w:sz w:val="24"/>
                <w:szCs w:val="24"/>
                <w:lang w:eastAsia="pt-BR"/>
              </w:rPr>
              <w:t xml:space="preserve"> </w:t>
            </w:r>
            <w:r w:rsidR="000079EE">
              <w:rPr>
                <w:rFonts w:ascii="Times New Roman" w:eastAsia="Times New Roman" w:hAnsi="Times New Roman" w:cs="Times New Roman"/>
                <w:sz w:val="24"/>
                <w:szCs w:val="24"/>
                <w:lang w:eastAsia="pt-BR"/>
              </w:rPr>
              <w:t xml:space="preserve">cento e sessenta e </w:t>
            </w:r>
            <w:r w:rsidR="0075163A">
              <w:rPr>
                <w:rFonts w:ascii="Times New Roman" w:eastAsia="Times New Roman" w:hAnsi="Times New Roman" w:cs="Times New Roman"/>
                <w:sz w:val="24"/>
                <w:szCs w:val="24"/>
                <w:lang w:eastAsia="pt-BR"/>
              </w:rPr>
              <w:t>nove</w:t>
            </w:r>
            <w:r w:rsidR="000079EE">
              <w:rPr>
                <w:rFonts w:ascii="Times New Roman" w:eastAsia="Times New Roman" w:hAnsi="Times New Roman" w:cs="Times New Roman"/>
                <w:sz w:val="24"/>
                <w:szCs w:val="24"/>
                <w:lang w:eastAsia="pt-BR"/>
              </w:rPr>
              <w:t xml:space="preserve"> milhões</w:t>
            </w:r>
            <w:r w:rsidR="008A715E">
              <w:rPr>
                <w:rFonts w:ascii="Times New Roman" w:eastAsia="Times New Roman" w:hAnsi="Times New Roman" w:cs="Times New Roman"/>
                <w:sz w:val="24"/>
                <w:szCs w:val="24"/>
                <w:lang w:eastAsia="pt-BR"/>
              </w:rPr>
              <w:t xml:space="preserve"> </w:t>
            </w:r>
            <w:r w:rsidR="0075163A">
              <w:rPr>
                <w:rFonts w:ascii="Times New Roman" w:eastAsia="Times New Roman" w:hAnsi="Times New Roman" w:cs="Times New Roman"/>
                <w:sz w:val="24"/>
                <w:szCs w:val="24"/>
                <w:lang w:eastAsia="pt-BR"/>
              </w:rPr>
              <w:t>cento e onze</w:t>
            </w:r>
            <w:r w:rsidR="000079EE">
              <w:rPr>
                <w:rFonts w:ascii="Times New Roman" w:eastAsia="Times New Roman" w:hAnsi="Times New Roman" w:cs="Times New Roman"/>
                <w:sz w:val="24"/>
                <w:szCs w:val="24"/>
                <w:lang w:eastAsia="pt-BR"/>
              </w:rPr>
              <w:t xml:space="preserve"> mil</w:t>
            </w:r>
            <w:r w:rsidR="008A715E">
              <w:rPr>
                <w:rFonts w:ascii="Times New Roman" w:eastAsia="Times New Roman" w:hAnsi="Times New Roman" w:cs="Times New Roman"/>
                <w:sz w:val="24"/>
                <w:szCs w:val="24"/>
                <w:lang w:eastAsia="pt-BR"/>
              </w:rPr>
              <w:t xml:space="preserve"> </w:t>
            </w:r>
            <w:r w:rsidR="0075163A">
              <w:rPr>
                <w:rFonts w:ascii="Times New Roman" w:eastAsia="Times New Roman" w:hAnsi="Times New Roman" w:cs="Times New Roman"/>
                <w:sz w:val="24"/>
                <w:szCs w:val="24"/>
                <w:lang w:eastAsia="pt-BR"/>
              </w:rPr>
              <w:t xml:space="preserve">setenta e um reais </w:t>
            </w:r>
            <w:r w:rsidR="000079EE">
              <w:rPr>
                <w:rFonts w:ascii="Times New Roman" w:eastAsia="Times New Roman" w:hAnsi="Times New Roman" w:cs="Times New Roman"/>
                <w:sz w:val="24"/>
                <w:szCs w:val="24"/>
                <w:lang w:eastAsia="pt-BR"/>
              </w:rPr>
              <w:t xml:space="preserve">e </w:t>
            </w:r>
            <w:r w:rsidR="0075163A">
              <w:rPr>
                <w:rFonts w:ascii="Times New Roman" w:eastAsia="Times New Roman" w:hAnsi="Times New Roman" w:cs="Times New Roman"/>
                <w:sz w:val="24"/>
                <w:szCs w:val="24"/>
                <w:lang w:eastAsia="pt-BR"/>
              </w:rPr>
              <w:t xml:space="preserve">noventa e quatro </w:t>
            </w:r>
            <w:r w:rsidR="000079EE">
              <w:rPr>
                <w:rFonts w:ascii="Times New Roman" w:eastAsia="Times New Roman" w:hAnsi="Times New Roman" w:cs="Times New Roman"/>
                <w:sz w:val="24"/>
                <w:szCs w:val="24"/>
                <w:lang w:eastAsia="pt-BR"/>
              </w:rPr>
              <w:t>centavos)</w:t>
            </w:r>
            <w:r w:rsidRPr="000079EE">
              <w:rPr>
                <w:rFonts w:ascii="Times New Roman" w:eastAsia="Times New Roman" w:hAnsi="Times New Roman" w:cs="Times New Roman"/>
                <w:sz w:val="24"/>
                <w:szCs w:val="24"/>
                <w:lang w:eastAsia="pt-BR"/>
              </w:rPr>
              <w:t xml:space="preserve"> </w:t>
            </w:r>
            <w:r w:rsidRPr="000079EE">
              <w:rPr>
                <w:rFonts w:ascii="Times New Roman" w:eastAsia="Times New Roman" w:hAnsi="Times New Roman" w:cs="Times New Roman"/>
                <w:bCs/>
                <w:sz w:val="24"/>
                <w:szCs w:val="24"/>
                <w:lang w:eastAsia="pt-BR"/>
              </w:rPr>
              <w:t xml:space="preserve">e </w:t>
            </w:r>
            <w:r w:rsidR="006F7652" w:rsidRPr="00A61C3A">
              <w:rPr>
                <w:rFonts w:ascii="Times New Roman" w:eastAsia="Times New Roman" w:hAnsi="Times New Roman" w:cs="Times New Roman"/>
                <w:b/>
                <w:bCs/>
                <w:sz w:val="24"/>
                <w:szCs w:val="24"/>
                <w:lang w:eastAsia="pt-BR"/>
              </w:rPr>
              <w:t xml:space="preserve">R$ </w:t>
            </w:r>
            <w:r w:rsidR="006F7652">
              <w:rPr>
                <w:rFonts w:ascii="Times New Roman" w:eastAsia="Times New Roman" w:hAnsi="Times New Roman" w:cs="Times New Roman"/>
                <w:b/>
                <w:bCs/>
                <w:sz w:val="24"/>
                <w:szCs w:val="24"/>
                <w:lang w:eastAsia="pt-BR"/>
              </w:rPr>
              <w:t>95.998.333,05</w:t>
            </w:r>
            <w:r w:rsidR="006F7652">
              <w:rPr>
                <w:rFonts w:ascii="Times New Roman" w:eastAsia="Times New Roman" w:hAnsi="Times New Roman" w:cs="Times New Roman"/>
                <w:sz w:val="24"/>
                <w:szCs w:val="24"/>
                <w:lang w:eastAsia="pt-BR"/>
              </w:rPr>
              <w:t xml:space="preserve"> (</w:t>
            </w:r>
            <w:r w:rsidR="006F7652" w:rsidRPr="005C3707">
              <w:rPr>
                <w:rFonts w:ascii="Times New Roman" w:eastAsia="Times New Roman" w:hAnsi="Times New Roman" w:cs="Times New Roman"/>
                <w:sz w:val="24"/>
                <w:szCs w:val="24"/>
                <w:lang w:eastAsia="pt-BR"/>
              </w:rPr>
              <w:t>noventa e cinco milhões novecentos e noventa e oito mil</w:t>
            </w:r>
            <w:r w:rsidR="008A715E">
              <w:rPr>
                <w:rFonts w:ascii="Times New Roman" w:eastAsia="Times New Roman" w:hAnsi="Times New Roman" w:cs="Times New Roman"/>
                <w:sz w:val="24"/>
                <w:szCs w:val="24"/>
                <w:lang w:eastAsia="pt-BR"/>
              </w:rPr>
              <w:t xml:space="preserve"> </w:t>
            </w:r>
            <w:r w:rsidR="006F7652" w:rsidRPr="005C3707">
              <w:rPr>
                <w:rFonts w:ascii="Times New Roman" w:eastAsia="Times New Roman" w:hAnsi="Times New Roman" w:cs="Times New Roman"/>
                <w:sz w:val="24"/>
                <w:szCs w:val="24"/>
                <w:lang w:eastAsia="pt-BR"/>
              </w:rPr>
              <w:t>trezentos e trinta e três reais e cinco centavos</w:t>
            </w:r>
            <w:r w:rsidR="006F7652">
              <w:rPr>
                <w:rFonts w:ascii="Times New Roman" w:eastAsia="Times New Roman" w:hAnsi="Times New Roman" w:cs="Times New Roman"/>
                <w:sz w:val="24"/>
                <w:szCs w:val="24"/>
                <w:lang w:eastAsia="pt-BR"/>
              </w:rPr>
              <w:t>)</w:t>
            </w:r>
            <w:r w:rsidR="00666744" w:rsidRPr="000079EE">
              <w:rPr>
                <w:rFonts w:ascii="Times New Roman" w:eastAsia="Times New Roman" w:hAnsi="Times New Roman" w:cs="Times New Roman"/>
                <w:bCs/>
                <w:sz w:val="24"/>
                <w:szCs w:val="24"/>
                <w:lang w:eastAsia="pt-BR"/>
              </w:rPr>
              <w:t xml:space="preserve"> </w:t>
            </w:r>
            <w:r w:rsidR="00666744" w:rsidRPr="005B741D">
              <w:rPr>
                <w:rFonts w:ascii="Times New Roman" w:eastAsia="Times New Roman" w:hAnsi="Times New Roman" w:cs="Times New Roman"/>
                <w:bCs/>
                <w:sz w:val="24"/>
                <w:szCs w:val="24"/>
                <w:lang w:eastAsia="pt-BR"/>
              </w:rPr>
              <w:t>na perspectiva patrimonial.</w:t>
            </w:r>
          </w:p>
        </w:tc>
        <w:tc>
          <w:tcPr>
            <w:tcW w:w="4933" w:type="dxa"/>
            <w:hideMark/>
          </w:tcPr>
          <w:p w14:paraId="5927636D" w14:textId="77777777" w:rsidR="00666744" w:rsidRPr="005B741D" w:rsidRDefault="00666744" w:rsidP="00447690">
            <w:pPr>
              <w:pStyle w:val="tabelatextocentralizado"/>
              <w:spacing w:before="0" w:beforeAutospacing="0" w:after="0" w:afterAutospacing="0"/>
              <w:ind w:left="113" w:right="113" w:firstLine="0"/>
              <w:jc w:val="center"/>
              <w:rPr>
                <w:rStyle w:val="Forte"/>
                <w:color w:val="0000CC"/>
              </w:rPr>
            </w:pPr>
          </w:p>
          <w:p w14:paraId="571E436F" w14:textId="77777777" w:rsidR="001B32A1" w:rsidRPr="005B741D" w:rsidRDefault="00094305" w:rsidP="00447690">
            <w:pPr>
              <w:pStyle w:val="tabelatextocentralizado"/>
              <w:spacing w:before="0" w:beforeAutospacing="0" w:after="0" w:afterAutospacing="0"/>
              <w:ind w:left="113" w:right="113" w:firstLine="0"/>
              <w:jc w:val="center"/>
              <w:rPr>
                <w:rStyle w:val="Forte"/>
                <w:color w:val="0000CC"/>
              </w:rPr>
            </w:pPr>
            <w:r w:rsidRPr="005B741D">
              <w:rPr>
                <w:rStyle w:val="Forte"/>
                <w:color w:val="0000CC"/>
              </w:rPr>
              <w:t>QUAIS AS PROPOSTAS DE ENCAMINHAMENTO?</w:t>
            </w:r>
          </w:p>
          <w:p w14:paraId="3F0DD650" w14:textId="77777777" w:rsidR="00422A37" w:rsidRPr="005B741D" w:rsidRDefault="00422A37" w:rsidP="00447690">
            <w:pPr>
              <w:pStyle w:val="tabelatextocentralizado"/>
              <w:spacing w:before="0" w:beforeAutospacing="0" w:after="0" w:afterAutospacing="0"/>
              <w:ind w:left="113" w:right="113" w:firstLine="0"/>
              <w:jc w:val="center"/>
              <w:rPr>
                <w:rStyle w:val="Forte"/>
                <w:color w:val="0000CC"/>
              </w:rPr>
            </w:pPr>
          </w:p>
          <w:p w14:paraId="10E37E80" w14:textId="4AA22625" w:rsidR="00FC458C" w:rsidRPr="003B2A2A" w:rsidRDefault="00FC458C" w:rsidP="002E2B24">
            <w:pPr>
              <w:pStyle w:val="tabelatextocentralizado"/>
              <w:spacing w:before="240" w:beforeAutospacing="0" w:after="0" w:afterAutospacing="0"/>
              <w:ind w:right="113" w:firstLine="0"/>
              <w:jc w:val="both"/>
              <w:outlineLvl w:val="0"/>
            </w:pPr>
            <w:r w:rsidRPr="003B2A2A">
              <w:t>Foram apresentadas</w:t>
            </w:r>
            <w:r w:rsidR="002217A5" w:rsidRPr="003B2A2A">
              <w:t xml:space="preserve"> propostas de encaminhamento</w:t>
            </w:r>
            <w:r w:rsidR="003B2A2A">
              <w:t xml:space="preserve"> com vistas ao aprimoramento</w:t>
            </w:r>
            <w:r w:rsidR="006D2819">
              <w:t xml:space="preserve"> </w:t>
            </w:r>
            <w:r w:rsidR="003B2A2A">
              <w:t>da</w:t>
            </w:r>
            <w:r w:rsidR="006D2819">
              <w:t xml:space="preserve"> </w:t>
            </w:r>
            <w:r w:rsidR="003B2A2A">
              <w:t>gestão patrimonial, especialmente quanto à otimização dos registros no novo sistema e à adequada regularização dos bens não localizados, em conformidade com as normas aplicáveis.</w:t>
            </w:r>
            <w:r w:rsidR="006B60EB" w:rsidRPr="003B2A2A">
              <w:t xml:space="preserve"> </w:t>
            </w:r>
          </w:p>
          <w:p w14:paraId="0278BA43" w14:textId="77777777" w:rsidR="00C55510" w:rsidRPr="005B741D" w:rsidRDefault="00FC458C" w:rsidP="002E2B24">
            <w:pPr>
              <w:pStyle w:val="tabelatextocentralizado"/>
              <w:spacing w:before="240" w:beforeAutospacing="0" w:after="0" w:afterAutospacing="0"/>
              <w:ind w:right="113" w:firstLine="0"/>
              <w:jc w:val="both"/>
              <w:outlineLvl w:val="0"/>
            </w:pPr>
            <w:r w:rsidRPr="005B741D">
              <w:t>A implementação dos ajustes propostos pela SECAU contribuirá para a melhoria da prestação de contas do Tribunal aumentando o grau de confiança das demonstrações por parte dos seus usuários.</w:t>
            </w:r>
          </w:p>
          <w:p w14:paraId="6C8E53EF" w14:textId="77777777" w:rsidR="00046295" w:rsidRPr="00514670" w:rsidRDefault="00094305" w:rsidP="00447690">
            <w:pPr>
              <w:pStyle w:val="tabelatextocentralizado"/>
              <w:spacing w:before="0" w:beforeAutospacing="0" w:after="0" w:afterAutospacing="0"/>
              <w:ind w:left="113" w:right="113" w:firstLine="0"/>
              <w:jc w:val="center"/>
              <w:rPr>
                <w:rStyle w:val="Forte"/>
                <w:b w:val="0"/>
                <w:bCs w:val="0"/>
              </w:rPr>
            </w:pPr>
            <w:r w:rsidRPr="005B741D">
              <w:rPr>
                <w:rStyle w:val="Forte"/>
                <w:color w:val="0000CC"/>
              </w:rPr>
              <w:t>_____________</w:t>
            </w:r>
            <w:r w:rsidR="007D12F6" w:rsidRPr="005B741D">
              <w:rPr>
                <w:rStyle w:val="Forte"/>
                <w:color w:val="0000CC"/>
              </w:rPr>
              <w:t>_________</w:t>
            </w:r>
            <w:r w:rsidR="00514670">
              <w:rPr>
                <w:rStyle w:val="Forte"/>
                <w:color w:val="0000CC"/>
              </w:rPr>
              <w:t>_______</w:t>
            </w:r>
            <w:r w:rsidR="006817F1">
              <w:rPr>
                <w:rStyle w:val="Forte"/>
                <w:color w:val="0000CC"/>
              </w:rPr>
              <w:t>__</w:t>
            </w:r>
          </w:p>
          <w:p w14:paraId="2B36EF7D" w14:textId="77777777" w:rsidR="00514670" w:rsidRDefault="00514670" w:rsidP="00447690">
            <w:pPr>
              <w:pStyle w:val="tabelatextocentralizado"/>
              <w:spacing w:before="0" w:beforeAutospacing="0" w:after="0" w:afterAutospacing="0"/>
              <w:ind w:left="113" w:right="113" w:firstLine="0"/>
              <w:jc w:val="center"/>
              <w:rPr>
                <w:rStyle w:val="Forte"/>
                <w:color w:val="0000CC"/>
              </w:rPr>
            </w:pPr>
          </w:p>
          <w:p w14:paraId="758E5BF5" w14:textId="77777777" w:rsidR="007D12F6" w:rsidRPr="005B741D" w:rsidRDefault="00094305" w:rsidP="00447690">
            <w:pPr>
              <w:pStyle w:val="tabelatextocentralizado"/>
              <w:spacing w:before="0" w:beforeAutospacing="0" w:after="0" w:afterAutospacing="0"/>
              <w:ind w:left="113" w:right="113" w:firstLine="0"/>
              <w:jc w:val="center"/>
              <w:rPr>
                <w:rStyle w:val="Forte"/>
                <w:color w:val="0000CC"/>
              </w:rPr>
            </w:pPr>
            <w:r w:rsidRPr="005B741D">
              <w:rPr>
                <w:rStyle w:val="Forte"/>
                <w:color w:val="0000CC"/>
              </w:rPr>
              <w:t>QUAIS OS PRÓXIMOS PASSOS?</w:t>
            </w:r>
          </w:p>
          <w:p w14:paraId="716AC621" w14:textId="77777777" w:rsidR="00422A37" w:rsidRPr="005B741D" w:rsidRDefault="00422A37" w:rsidP="00447690">
            <w:pPr>
              <w:pStyle w:val="tabelatextocentralizado"/>
              <w:spacing w:before="0" w:beforeAutospacing="0" w:after="0" w:afterAutospacing="0"/>
              <w:ind w:left="113" w:right="113" w:firstLine="0"/>
              <w:jc w:val="center"/>
              <w:rPr>
                <w:rStyle w:val="Forte"/>
                <w:color w:val="0000CC"/>
              </w:rPr>
            </w:pPr>
          </w:p>
          <w:p w14:paraId="283FD135" w14:textId="22CC2ECC" w:rsidR="00CD4D73" w:rsidRPr="005B741D" w:rsidRDefault="00094305" w:rsidP="00447690">
            <w:pPr>
              <w:pStyle w:val="tabelatextocentralizado"/>
              <w:spacing w:before="0" w:beforeAutospacing="0" w:after="0" w:afterAutospacing="0"/>
              <w:ind w:left="113" w:right="113" w:firstLine="0"/>
              <w:jc w:val="both"/>
            </w:pPr>
            <w:r w:rsidRPr="005B741D">
              <w:t>Para garantir a implementação das ações, a SECAU realizará monitoramento das recomendações que for</w:t>
            </w:r>
            <w:r w:rsidR="005D7139" w:rsidRPr="005B741D">
              <w:t>e</w:t>
            </w:r>
            <w:r w:rsidRPr="005B741D">
              <w:t>m expedidas</w:t>
            </w:r>
            <w:r w:rsidR="00DC6A17" w:rsidRPr="005B741D">
              <w:t>. O monitoramento</w:t>
            </w:r>
            <w:r w:rsidRPr="005B741D">
              <w:t xml:space="preserve"> será conduzido de acordo com a metodologia desenvolvida nesta auditoria. O presente relatório embasa a emissão </w:t>
            </w:r>
            <w:r w:rsidR="00282D62" w:rsidRPr="005B741D">
              <w:t xml:space="preserve">do Certificado de Auditoria </w:t>
            </w:r>
            <w:r w:rsidR="00781A70">
              <w:t>(</w:t>
            </w:r>
            <w:r w:rsidR="00282D62" w:rsidRPr="005B741D">
              <w:t>id.</w:t>
            </w:r>
            <w:r w:rsidR="001D6B26" w:rsidRPr="004B4648">
              <w:t xml:space="preserve"> </w:t>
            </w:r>
            <w:r w:rsidR="008E3F6E" w:rsidRPr="004B4648">
              <w:t>(</w:t>
            </w:r>
            <w:r w:rsidR="00983FAF" w:rsidRPr="00983FAF">
              <w:t>1688392</w:t>
            </w:r>
            <w:r w:rsidR="00781A70" w:rsidRPr="004B4648">
              <w:t>)</w:t>
            </w:r>
            <w:r w:rsidR="00282D62" w:rsidRPr="005B741D">
              <w:t>,</w:t>
            </w:r>
            <w:r w:rsidRPr="005B741D">
              <w:t xml:space="preserve"> o qual compõe o processo de prestação d</w:t>
            </w:r>
            <w:r w:rsidR="004F4BCC" w:rsidRPr="005B741D">
              <w:t>e contas anuais da UPC para 202</w:t>
            </w:r>
            <w:r w:rsidR="000560F8">
              <w:t>5</w:t>
            </w:r>
            <w:r w:rsidR="00877ABC" w:rsidRPr="005B741D">
              <w:t>.</w:t>
            </w:r>
          </w:p>
        </w:tc>
      </w:tr>
    </w:tbl>
    <w:p w14:paraId="2B0EE616" w14:textId="77777777" w:rsidR="004B7AF7" w:rsidRDefault="004B7AF7" w:rsidP="004B1E97">
      <w:pPr>
        <w:spacing w:before="240"/>
        <w:ind w:firstLine="0"/>
        <w:jc w:val="both"/>
        <w:rPr>
          <w:rFonts w:ascii="Times New Roman" w:eastAsia="Times New Roman" w:hAnsi="Times New Roman" w:cs="Times New Roman"/>
          <w:b/>
          <w:bCs/>
          <w:sz w:val="24"/>
          <w:szCs w:val="24"/>
          <w:lang w:eastAsia="pt-BR"/>
        </w:rPr>
      </w:pPr>
    </w:p>
    <w:p w14:paraId="3BC370D9" w14:textId="77777777" w:rsidR="008E3F6E" w:rsidRDefault="008E3F6E" w:rsidP="004B1E97">
      <w:pPr>
        <w:spacing w:before="240"/>
        <w:ind w:firstLine="0"/>
        <w:jc w:val="both"/>
        <w:rPr>
          <w:rFonts w:ascii="Times New Roman" w:eastAsia="Times New Roman" w:hAnsi="Times New Roman" w:cs="Times New Roman"/>
          <w:b/>
          <w:bCs/>
          <w:sz w:val="24"/>
          <w:szCs w:val="24"/>
          <w:lang w:eastAsia="pt-BR"/>
        </w:rPr>
      </w:pPr>
    </w:p>
    <w:p w14:paraId="3BF21C1B" w14:textId="6B552042" w:rsidR="00357AC4" w:rsidRPr="006676D2" w:rsidRDefault="00903470" w:rsidP="004B1E97">
      <w:pPr>
        <w:spacing w:before="240"/>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lastRenderedPageBreak/>
        <w:t>DA AUDITORIA</w:t>
      </w:r>
    </w:p>
    <w:p w14:paraId="522D1073" w14:textId="77777777" w:rsidR="00357AC4" w:rsidRPr="006676D2" w:rsidRDefault="00903470" w:rsidP="004B1E97">
      <w:pPr>
        <w:spacing w:before="240"/>
        <w:ind w:firstLine="0"/>
        <w:jc w:val="both"/>
        <w:rPr>
          <w:rStyle w:val="Forte"/>
          <w:rFonts w:ascii="Times New Roman" w:eastAsia="Times New Roman" w:hAnsi="Times New Roman" w:cs="Times New Roman"/>
          <w:b w:val="0"/>
          <w:bCs w:val="0"/>
          <w:sz w:val="24"/>
          <w:szCs w:val="24"/>
          <w:lang w:eastAsia="pt-BR"/>
        </w:rPr>
      </w:pPr>
      <w:r w:rsidRPr="00A61C3A">
        <w:rPr>
          <w:rFonts w:ascii="Times New Roman" w:eastAsia="Times New Roman" w:hAnsi="Times New Roman" w:cs="Times New Roman"/>
          <w:b/>
          <w:bCs/>
          <w:sz w:val="24"/>
          <w:szCs w:val="24"/>
          <w:lang w:eastAsia="pt-BR"/>
        </w:rPr>
        <w:t>Modalidade</w:t>
      </w:r>
      <w:r w:rsidRPr="00A61C3A">
        <w:rPr>
          <w:rFonts w:ascii="Times New Roman" w:eastAsia="Times New Roman" w:hAnsi="Times New Roman" w:cs="Times New Roman"/>
          <w:sz w:val="24"/>
          <w:szCs w:val="24"/>
          <w:lang w:eastAsia="pt-BR"/>
        </w:rPr>
        <w:t>: Finance</w:t>
      </w:r>
      <w:r>
        <w:rPr>
          <w:rFonts w:ascii="Times New Roman" w:eastAsia="Times New Roman" w:hAnsi="Times New Roman" w:cs="Times New Roman"/>
          <w:sz w:val="24"/>
          <w:szCs w:val="24"/>
          <w:lang w:eastAsia="pt-BR"/>
        </w:rPr>
        <w:t xml:space="preserve">ira </w:t>
      </w:r>
      <w:r w:rsidR="003C7BE0">
        <w:rPr>
          <w:rFonts w:ascii="Times New Roman" w:eastAsia="Times New Roman" w:hAnsi="Times New Roman" w:cs="Times New Roman"/>
          <w:sz w:val="24"/>
          <w:szCs w:val="24"/>
          <w:lang w:eastAsia="pt-BR"/>
        </w:rPr>
        <w:t xml:space="preserve">Integrada </w:t>
      </w:r>
      <w:r w:rsidR="006676D2">
        <w:rPr>
          <w:rFonts w:ascii="Times New Roman" w:eastAsia="Times New Roman" w:hAnsi="Times New Roman" w:cs="Times New Roman"/>
          <w:sz w:val="24"/>
          <w:szCs w:val="24"/>
          <w:lang w:eastAsia="pt-BR"/>
        </w:rPr>
        <w:t>com Conformidade.</w:t>
      </w:r>
    </w:p>
    <w:p w14:paraId="25DCE10C" w14:textId="32287D7A" w:rsidR="00357AC4" w:rsidRPr="006676D2" w:rsidRDefault="00903470" w:rsidP="004B1E97">
      <w:pPr>
        <w:spacing w:before="240"/>
        <w:ind w:firstLine="0"/>
        <w:jc w:val="both"/>
        <w:rPr>
          <w:rFonts w:ascii="Times New Roman" w:hAnsi="Times New Roman" w:cs="Times New Roman"/>
          <w:sz w:val="24"/>
          <w:szCs w:val="24"/>
        </w:rPr>
      </w:pPr>
      <w:proofErr w:type="spellStart"/>
      <w:r w:rsidRPr="00E00248">
        <w:rPr>
          <w:rStyle w:val="Forte"/>
          <w:rFonts w:ascii="Times New Roman" w:hAnsi="Times New Roman" w:cs="Times New Roman"/>
          <w:color w:val="000000"/>
          <w:sz w:val="24"/>
          <w:szCs w:val="24"/>
        </w:rPr>
        <w:t>PAe</w:t>
      </w:r>
      <w:proofErr w:type="spellEnd"/>
      <w:r w:rsidRPr="00E00248">
        <w:rPr>
          <w:rStyle w:val="Forte"/>
          <w:rFonts w:ascii="Times New Roman" w:hAnsi="Times New Roman" w:cs="Times New Roman"/>
          <w:color w:val="000000"/>
          <w:sz w:val="24"/>
          <w:szCs w:val="24"/>
        </w:rPr>
        <w:t xml:space="preserve"> </w:t>
      </w:r>
      <w:r w:rsidRPr="00E23F72">
        <w:rPr>
          <w:rStyle w:val="Forte"/>
          <w:rFonts w:ascii="Times New Roman" w:hAnsi="Times New Roman" w:cs="Times New Roman"/>
          <w:color w:val="000000"/>
          <w:sz w:val="24"/>
          <w:szCs w:val="24"/>
        </w:rPr>
        <w:t>SEI</w:t>
      </w:r>
      <w:r w:rsidRPr="00E23F72">
        <w:rPr>
          <w:rFonts w:ascii="Times New Roman" w:hAnsi="Times New Roman" w:cs="Times New Roman"/>
          <w:color w:val="000000"/>
          <w:sz w:val="24"/>
          <w:szCs w:val="24"/>
        </w:rPr>
        <w:t> </w:t>
      </w:r>
      <w:r w:rsidR="00A063D7" w:rsidRPr="008306F9">
        <w:rPr>
          <w:rFonts w:ascii="Times New Roman" w:hAnsi="Times New Roman" w:cs="Times New Roman"/>
          <w:sz w:val="24"/>
          <w:szCs w:val="24"/>
        </w:rPr>
        <w:t>0011159-16.2025.4.06.8000</w:t>
      </w:r>
    </w:p>
    <w:p w14:paraId="25B257F6" w14:textId="77777777" w:rsidR="00357AC4" w:rsidRPr="006676D2" w:rsidRDefault="00903470" w:rsidP="004B1E97">
      <w:pPr>
        <w:spacing w:before="240"/>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 xml:space="preserve">Ato originário: </w:t>
      </w:r>
      <w:hyperlink r:id="rId10" w:tgtFrame="_blank" w:history="1">
        <w:r w:rsidRPr="00A61C3A">
          <w:rPr>
            <w:rFonts w:ascii="Times New Roman" w:eastAsia="Times New Roman" w:hAnsi="Times New Roman" w:cs="Times New Roman"/>
            <w:color w:val="0000FF"/>
            <w:sz w:val="24"/>
            <w:szCs w:val="24"/>
            <w:u w:val="single"/>
            <w:lang w:eastAsia="pt-BR"/>
          </w:rPr>
          <w:t>Instrução Normativa TCU nº 84, de 22 de abril de 2020.</w:t>
        </w:r>
      </w:hyperlink>
    </w:p>
    <w:p w14:paraId="45E54099" w14:textId="319BD7FC" w:rsidR="00357AC4" w:rsidRPr="006676D2" w:rsidRDefault="00903470" w:rsidP="004B1E97">
      <w:pPr>
        <w:spacing w:before="240"/>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Objeto da auditoria</w:t>
      </w:r>
      <w:r w:rsidRPr="00A61C3A">
        <w:rPr>
          <w:rFonts w:ascii="Times New Roman" w:eastAsia="Times New Roman" w:hAnsi="Times New Roman" w:cs="Times New Roman"/>
          <w:sz w:val="24"/>
          <w:szCs w:val="24"/>
          <w:lang w:eastAsia="pt-BR"/>
        </w:rPr>
        <w:t>: Situação patrimonial, financeira e orçamentária da entidade, refletida nas demonstrações contábeis de 31/12</w:t>
      </w:r>
      <w:r w:rsidR="002246C2">
        <w:rPr>
          <w:rFonts w:ascii="Times New Roman" w:eastAsia="Times New Roman" w:hAnsi="Times New Roman" w:cs="Times New Roman"/>
          <w:sz w:val="24"/>
          <w:szCs w:val="24"/>
          <w:lang w:eastAsia="pt-BR"/>
        </w:rPr>
        <w:t>/202</w:t>
      </w:r>
      <w:r w:rsidR="00A063D7">
        <w:rPr>
          <w:rFonts w:ascii="Times New Roman" w:eastAsia="Times New Roman" w:hAnsi="Times New Roman" w:cs="Times New Roman"/>
          <w:sz w:val="24"/>
          <w:szCs w:val="24"/>
          <w:lang w:eastAsia="pt-BR"/>
        </w:rPr>
        <w:t>5</w:t>
      </w:r>
      <w:r>
        <w:rPr>
          <w:rFonts w:ascii="Times New Roman" w:eastAsia="Times New Roman" w:hAnsi="Times New Roman" w:cs="Times New Roman"/>
          <w:sz w:val="24"/>
          <w:szCs w:val="24"/>
          <w:lang w:eastAsia="pt-BR"/>
        </w:rPr>
        <w:t xml:space="preserve"> e transações subjacentes.</w:t>
      </w:r>
    </w:p>
    <w:p w14:paraId="06EC0B52" w14:textId="3D5C4DF3" w:rsidR="00357AC4" w:rsidRPr="006676D2" w:rsidRDefault="00903470" w:rsidP="004B1E97">
      <w:pPr>
        <w:spacing w:before="240"/>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Período abrangido pela auditoria</w:t>
      </w:r>
      <w:r w:rsidR="009F09E0">
        <w:rPr>
          <w:rFonts w:ascii="Times New Roman" w:eastAsia="Times New Roman" w:hAnsi="Times New Roman" w:cs="Times New Roman"/>
          <w:sz w:val="24"/>
          <w:szCs w:val="24"/>
          <w:lang w:eastAsia="pt-BR"/>
        </w:rPr>
        <w:t>: 01/01/202</w:t>
      </w:r>
      <w:r w:rsidR="00A063D7">
        <w:rPr>
          <w:rFonts w:ascii="Times New Roman" w:eastAsia="Times New Roman" w:hAnsi="Times New Roman" w:cs="Times New Roman"/>
          <w:sz w:val="24"/>
          <w:szCs w:val="24"/>
          <w:lang w:eastAsia="pt-BR"/>
        </w:rPr>
        <w:t>5</w:t>
      </w:r>
      <w:r w:rsidR="002246C2">
        <w:rPr>
          <w:rFonts w:ascii="Times New Roman" w:eastAsia="Times New Roman" w:hAnsi="Times New Roman" w:cs="Times New Roman"/>
          <w:sz w:val="24"/>
          <w:szCs w:val="24"/>
          <w:lang w:eastAsia="pt-BR"/>
        </w:rPr>
        <w:t xml:space="preserve"> a </w:t>
      </w:r>
      <w:r w:rsidR="002246C2" w:rsidRPr="00DC0EF7">
        <w:rPr>
          <w:rFonts w:ascii="Times New Roman" w:eastAsia="Times New Roman" w:hAnsi="Times New Roman" w:cs="Times New Roman"/>
          <w:sz w:val="24"/>
          <w:szCs w:val="24"/>
          <w:lang w:eastAsia="pt-BR"/>
        </w:rPr>
        <w:t>31/12/202</w:t>
      </w:r>
      <w:r w:rsidR="00A063D7" w:rsidRPr="00DC0EF7">
        <w:rPr>
          <w:rFonts w:ascii="Times New Roman" w:eastAsia="Times New Roman" w:hAnsi="Times New Roman" w:cs="Times New Roman"/>
          <w:sz w:val="24"/>
          <w:szCs w:val="24"/>
          <w:lang w:eastAsia="pt-BR"/>
        </w:rPr>
        <w:t>5</w:t>
      </w:r>
    </w:p>
    <w:p w14:paraId="287B052F" w14:textId="77777777" w:rsidR="00357AC4" w:rsidRPr="00357AC4" w:rsidRDefault="00903470" w:rsidP="004B1E97">
      <w:pPr>
        <w:spacing w:before="240"/>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Composição da equipe</w:t>
      </w:r>
    </w:p>
    <w:p w14:paraId="12829EFD" w14:textId="77777777" w:rsidR="006676D2" w:rsidRDefault="006676D2" w:rsidP="006676D2">
      <w:pPr>
        <w:ind w:firstLine="0"/>
        <w:jc w:val="both"/>
        <w:rPr>
          <w:rFonts w:ascii="Times New Roman" w:eastAsia="Times New Roman" w:hAnsi="Times New Roman" w:cs="Times New Roman"/>
          <w:b/>
          <w:bCs/>
          <w:sz w:val="24"/>
          <w:szCs w:val="24"/>
          <w:lang w:eastAsia="pt-BR"/>
        </w:rPr>
      </w:pPr>
    </w:p>
    <w:p w14:paraId="381A0B41" w14:textId="77777777" w:rsidR="00903470" w:rsidRPr="00A61C3A"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Diretor da Secretaria de Auditoria Interna – SECAU:</w:t>
      </w:r>
    </w:p>
    <w:p w14:paraId="5A2E910E" w14:textId="77777777" w:rsidR="00357AC4" w:rsidRPr="00357AC4" w:rsidRDefault="00903470" w:rsidP="006676D2">
      <w:pPr>
        <w:ind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Luiz Guilherme Piva</w:t>
      </w:r>
    </w:p>
    <w:p w14:paraId="477FBB20" w14:textId="77777777" w:rsidR="006676D2" w:rsidRDefault="006676D2" w:rsidP="006676D2">
      <w:pPr>
        <w:ind w:firstLine="0"/>
        <w:jc w:val="both"/>
        <w:rPr>
          <w:rFonts w:ascii="Times New Roman" w:eastAsia="Times New Roman" w:hAnsi="Times New Roman" w:cs="Times New Roman"/>
          <w:b/>
          <w:bCs/>
          <w:sz w:val="24"/>
          <w:szCs w:val="24"/>
          <w:lang w:eastAsia="pt-BR"/>
        </w:rPr>
      </w:pPr>
    </w:p>
    <w:p w14:paraId="0A3A89D4" w14:textId="77777777" w:rsidR="00903470" w:rsidRPr="00A61C3A"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Coordenadores:</w:t>
      </w:r>
    </w:p>
    <w:p w14:paraId="02C63D45" w14:textId="77777777" w:rsidR="006676D2" w:rsidRDefault="00D61909" w:rsidP="006676D2">
      <w:pPr>
        <w:ind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Sônia Maria dos Santos Lopes</w:t>
      </w:r>
      <w:r w:rsidR="00903470" w:rsidRPr="00A61C3A">
        <w:rPr>
          <w:rFonts w:ascii="Times New Roman" w:eastAsia="Times New Roman" w:hAnsi="Times New Roman" w:cs="Times New Roman"/>
          <w:sz w:val="24"/>
          <w:szCs w:val="24"/>
          <w:lang w:eastAsia="pt-BR"/>
        </w:rPr>
        <w:t xml:space="preserve"> – Coordenador</w:t>
      </w:r>
      <w:r>
        <w:rPr>
          <w:rFonts w:ascii="Times New Roman" w:eastAsia="Times New Roman" w:hAnsi="Times New Roman" w:cs="Times New Roman"/>
          <w:sz w:val="24"/>
          <w:szCs w:val="24"/>
          <w:lang w:eastAsia="pt-BR"/>
        </w:rPr>
        <w:t>a</w:t>
      </w:r>
      <w:r w:rsidR="00903470" w:rsidRPr="00A61C3A">
        <w:rPr>
          <w:rFonts w:ascii="Times New Roman" w:eastAsia="Times New Roman" w:hAnsi="Times New Roman" w:cs="Times New Roman"/>
          <w:sz w:val="24"/>
          <w:szCs w:val="24"/>
          <w:lang w:eastAsia="pt-BR"/>
        </w:rPr>
        <w:t xml:space="preserve"> da equipe de </w:t>
      </w:r>
      <w:r w:rsidR="003C7BE0">
        <w:rPr>
          <w:rFonts w:ascii="Times New Roman" w:eastAsia="Times New Roman" w:hAnsi="Times New Roman" w:cs="Times New Roman"/>
          <w:sz w:val="24"/>
          <w:szCs w:val="24"/>
          <w:lang w:eastAsia="pt-BR"/>
        </w:rPr>
        <w:t>A</w:t>
      </w:r>
      <w:r w:rsidR="00903470" w:rsidRPr="00A61C3A">
        <w:rPr>
          <w:rFonts w:ascii="Times New Roman" w:eastAsia="Times New Roman" w:hAnsi="Times New Roman" w:cs="Times New Roman"/>
          <w:sz w:val="24"/>
          <w:szCs w:val="24"/>
          <w:lang w:eastAsia="pt-BR"/>
        </w:rPr>
        <w:t xml:space="preserve">uditoria </w:t>
      </w:r>
      <w:r w:rsidR="003C7BE0">
        <w:rPr>
          <w:rFonts w:ascii="Times New Roman" w:eastAsia="Times New Roman" w:hAnsi="Times New Roman" w:cs="Times New Roman"/>
          <w:sz w:val="24"/>
          <w:szCs w:val="24"/>
          <w:lang w:eastAsia="pt-BR"/>
        </w:rPr>
        <w:t>F</w:t>
      </w:r>
      <w:r w:rsidR="003C7BE0" w:rsidRPr="00A61C3A">
        <w:rPr>
          <w:rFonts w:ascii="Times New Roman" w:eastAsia="Times New Roman" w:hAnsi="Times New Roman" w:cs="Times New Roman"/>
          <w:sz w:val="24"/>
          <w:szCs w:val="24"/>
          <w:lang w:eastAsia="pt-BR"/>
        </w:rPr>
        <w:t xml:space="preserve">inanceira </w:t>
      </w:r>
      <w:r w:rsidR="003C7BE0">
        <w:rPr>
          <w:rFonts w:ascii="Times New Roman" w:eastAsia="Times New Roman" w:hAnsi="Times New Roman" w:cs="Times New Roman"/>
          <w:sz w:val="24"/>
          <w:szCs w:val="24"/>
          <w:lang w:eastAsia="pt-BR"/>
        </w:rPr>
        <w:t>I</w:t>
      </w:r>
      <w:r w:rsidR="003C7BE0" w:rsidRPr="00A61C3A">
        <w:rPr>
          <w:rFonts w:ascii="Times New Roman" w:eastAsia="Times New Roman" w:hAnsi="Times New Roman" w:cs="Times New Roman"/>
          <w:sz w:val="24"/>
          <w:szCs w:val="24"/>
          <w:lang w:eastAsia="pt-BR"/>
        </w:rPr>
        <w:t xml:space="preserve">ntegrada </w:t>
      </w:r>
      <w:r w:rsidR="00903470" w:rsidRPr="00A61C3A">
        <w:rPr>
          <w:rFonts w:ascii="Times New Roman" w:eastAsia="Times New Roman" w:hAnsi="Times New Roman" w:cs="Times New Roman"/>
          <w:sz w:val="24"/>
          <w:szCs w:val="24"/>
          <w:lang w:eastAsia="pt-BR"/>
        </w:rPr>
        <w:t xml:space="preserve">com </w:t>
      </w:r>
      <w:r w:rsidR="003C7BE0">
        <w:rPr>
          <w:rFonts w:ascii="Times New Roman" w:eastAsia="Times New Roman" w:hAnsi="Times New Roman" w:cs="Times New Roman"/>
          <w:sz w:val="24"/>
          <w:szCs w:val="24"/>
          <w:lang w:eastAsia="pt-BR"/>
        </w:rPr>
        <w:t>C</w:t>
      </w:r>
      <w:r w:rsidR="006676D2">
        <w:rPr>
          <w:rFonts w:ascii="Times New Roman" w:eastAsia="Times New Roman" w:hAnsi="Times New Roman" w:cs="Times New Roman"/>
          <w:sz w:val="24"/>
          <w:szCs w:val="24"/>
          <w:lang w:eastAsia="pt-BR"/>
        </w:rPr>
        <w:t>onformidade</w:t>
      </w:r>
    </w:p>
    <w:p w14:paraId="0A293CD6" w14:textId="77777777" w:rsidR="00357AC4" w:rsidRPr="00357AC4"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 xml:space="preserve">Cristiano Amaro - Coordenador da equipe </w:t>
      </w:r>
      <w:r w:rsidR="003C7BE0" w:rsidRPr="00A61C3A">
        <w:rPr>
          <w:rFonts w:ascii="Times New Roman" w:eastAsia="Times New Roman" w:hAnsi="Times New Roman" w:cs="Times New Roman"/>
          <w:sz w:val="24"/>
          <w:szCs w:val="24"/>
          <w:lang w:eastAsia="pt-BR"/>
        </w:rPr>
        <w:t>de</w:t>
      </w:r>
      <w:r w:rsidR="003C7BE0">
        <w:rPr>
          <w:rFonts w:ascii="Times New Roman" w:eastAsia="Times New Roman" w:hAnsi="Times New Roman" w:cs="Times New Roman"/>
          <w:sz w:val="24"/>
          <w:szCs w:val="24"/>
          <w:lang w:eastAsia="pt-BR"/>
        </w:rPr>
        <w:t xml:space="preserve"> A</w:t>
      </w:r>
      <w:r w:rsidRPr="00A61C3A">
        <w:rPr>
          <w:rFonts w:ascii="Times New Roman" w:eastAsia="Times New Roman" w:hAnsi="Times New Roman" w:cs="Times New Roman"/>
          <w:sz w:val="24"/>
          <w:szCs w:val="24"/>
          <w:lang w:eastAsia="pt-BR"/>
        </w:rPr>
        <w:t xml:space="preserve">uditoria de </w:t>
      </w:r>
      <w:r w:rsidR="003C7BE0">
        <w:rPr>
          <w:rFonts w:ascii="Times New Roman" w:eastAsia="Times New Roman" w:hAnsi="Times New Roman" w:cs="Times New Roman"/>
          <w:sz w:val="24"/>
          <w:szCs w:val="24"/>
          <w:lang w:eastAsia="pt-BR"/>
        </w:rPr>
        <w:t>C</w:t>
      </w:r>
      <w:r w:rsidRPr="00A61C3A">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nformidade em </w:t>
      </w:r>
      <w:r w:rsidR="003C7BE0">
        <w:rPr>
          <w:rFonts w:ascii="Times New Roman" w:eastAsia="Times New Roman" w:hAnsi="Times New Roman" w:cs="Times New Roman"/>
          <w:sz w:val="24"/>
          <w:szCs w:val="24"/>
          <w:lang w:eastAsia="pt-BR"/>
        </w:rPr>
        <w:t>G</w:t>
      </w:r>
      <w:r>
        <w:rPr>
          <w:rFonts w:ascii="Times New Roman" w:eastAsia="Times New Roman" w:hAnsi="Times New Roman" w:cs="Times New Roman"/>
          <w:sz w:val="24"/>
          <w:szCs w:val="24"/>
          <w:lang w:eastAsia="pt-BR"/>
        </w:rPr>
        <w:t xml:space="preserve">estão de </w:t>
      </w:r>
      <w:r w:rsidR="003C7BE0">
        <w:rPr>
          <w:rFonts w:ascii="Times New Roman" w:eastAsia="Times New Roman" w:hAnsi="Times New Roman" w:cs="Times New Roman"/>
          <w:sz w:val="24"/>
          <w:szCs w:val="24"/>
          <w:lang w:eastAsia="pt-BR"/>
        </w:rPr>
        <w:t>P</w:t>
      </w:r>
      <w:r>
        <w:rPr>
          <w:rFonts w:ascii="Times New Roman" w:eastAsia="Times New Roman" w:hAnsi="Times New Roman" w:cs="Times New Roman"/>
          <w:sz w:val="24"/>
          <w:szCs w:val="24"/>
          <w:lang w:eastAsia="pt-BR"/>
        </w:rPr>
        <w:t>essoas</w:t>
      </w:r>
    </w:p>
    <w:p w14:paraId="6B0F9D22" w14:textId="77777777" w:rsidR="006676D2" w:rsidRDefault="006676D2" w:rsidP="006676D2">
      <w:pPr>
        <w:ind w:firstLine="0"/>
        <w:jc w:val="both"/>
        <w:rPr>
          <w:rFonts w:ascii="Times New Roman" w:eastAsia="Times New Roman" w:hAnsi="Times New Roman" w:cs="Times New Roman"/>
          <w:b/>
          <w:bCs/>
          <w:sz w:val="24"/>
          <w:szCs w:val="24"/>
          <w:lang w:eastAsia="pt-BR"/>
        </w:rPr>
      </w:pPr>
    </w:p>
    <w:p w14:paraId="510C0572" w14:textId="77777777" w:rsidR="00903470" w:rsidRPr="00A61C3A"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Membros da Auditoria Financeira:</w:t>
      </w:r>
    </w:p>
    <w:p w14:paraId="5539CAE4" w14:textId="77777777" w:rsidR="00903470" w:rsidRPr="00A61C3A"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Karla Pereira de Lima</w:t>
      </w:r>
    </w:p>
    <w:p w14:paraId="25297CEC" w14:textId="77777777" w:rsidR="003E65EF"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aria Tereza Barcelos Martins</w:t>
      </w:r>
    </w:p>
    <w:p w14:paraId="43AA3962" w14:textId="77777777" w:rsidR="00357AC4" w:rsidRPr="00357AC4" w:rsidRDefault="003E65EF" w:rsidP="006676D2">
      <w:pPr>
        <w:ind w:firstLine="0"/>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Wanderlene</w:t>
      </w:r>
      <w:proofErr w:type="spellEnd"/>
      <w:r>
        <w:rPr>
          <w:rFonts w:ascii="Times New Roman" w:eastAsia="Times New Roman" w:hAnsi="Times New Roman" w:cs="Times New Roman"/>
          <w:sz w:val="24"/>
          <w:szCs w:val="24"/>
          <w:lang w:eastAsia="pt-BR"/>
        </w:rPr>
        <w:t xml:space="preserve"> Maria Santos Brandão</w:t>
      </w:r>
    </w:p>
    <w:p w14:paraId="746841A9" w14:textId="77777777" w:rsidR="006676D2" w:rsidRDefault="006676D2" w:rsidP="006676D2">
      <w:pPr>
        <w:ind w:firstLine="0"/>
        <w:jc w:val="both"/>
        <w:rPr>
          <w:rFonts w:ascii="Times New Roman" w:eastAsia="Times New Roman" w:hAnsi="Times New Roman" w:cs="Times New Roman"/>
          <w:b/>
          <w:bCs/>
          <w:sz w:val="24"/>
          <w:szCs w:val="24"/>
          <w:lang w:eastAsia="pt-BR"/>
        </w:rPr>
      </w:pPr>
    </w:p>
    <w:p w14:paraId="5EABE129" w14:textId="77777777" w:rsidR="00903470" w:rsidRPr="00A61C3A"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 xml:space="preserve">Membros da Auditoria de </w:t>
      </w:r>
      <w:r w:rsidR="003C7BE0">
        <w:rPr>
          <w:rFonts w:ascii="Times New Roman" w:eastAsia="Times New Roman" w:hAnsi="Times New Roman" w:cs="Times New Roman"/>
          <w:b/>
          <w:bCs/>
          <w:sz w:val="24"/>
          <w:szCs w:val="24"/>
          <w:lang w:eastAsia="pt-BR"/>
        </w:rPr>
        <w:t>C</w:t>
      </w:r>
      <w:r w:rsidR="003C7BE0" w:rsidRPr="00A61C3A">
        <w:rPr>
          <w:rFonts w:ascii="Times New Roman" w:eastAsia="Times New Roman" w:hAnsi="Times New Roman" w:cs="Times New Roman"/>
          <w:b/>
          <w:bCs/>
          <w:sz w:val="24"/>
          <w:szCs w:val="24"/>
          <w:lang w:eastAsia="pt-BR"/>
        </w:rPr>
        <w:t xml:space="preserve">onformidade </w:t>
      </w:r>
      <w:r w:rsidRPr="00A61C3A">
        <w:rPr>
          <w:rFonts w:ascii="Times New Roman" w:eastAsia="Times New Roman" w:hAnsi="Times New Roman" w:cs="Times New Roman"/>
          <w:b/>
          <w:bCs/>
          <w:sz w:val="24"/>
          <w:szCs w:val="24"/>
          <w:lang w:eastAsia="pt-BR"/>
        </w:rPr>
        <w:t xml:space="preserve">nas </w:t>
      </w:r>
      <w:r w:rsidR="003C7BE0">
        <w:rPr>
          <w:rFonts w:ascii="Times New Roman" w:eastAsia="Times New Roman" w:hAnsi="Times New Roman" w:cs="Times New Roman"/>
          <w:b/>
          <w:bCs/>
          <w:sz w:val="24"/>
          <w:szCs w:val="24"/>
          <w:lang w:eastAsia="pt-BR"/>
        </w:rPr>
        <w:t>C</w:t>
      </w:r>
      <w:r w:rsidR="003C7BE0" w:rsidRPr="00A61C3A">
        <w:rPr>
          <w:rFonts w:ascii="Times New Roman" w:eastAsia="Times New Roman" w:hAnsi="Times New Roman" w:cs="Times New Roman"/>
          <w:b/>
          <w:bCs/>
          <w:sz w:val="24"/>
          <w:szCs w:val="24"/>
          <w:lang w:eastAsia="pt-BR"/>
        </w:rPr>
        <w:t>ontratações</w:t>
      </w:r>
      <w:r w:rsidRPr="00A61C3A">
        <w:rPr>
          <w:rFonts w:ascii="Times New Roman" w:eastAsia="Times New Roman" w:hAnsi="Times New Roman" w:cs="Times New Roman"/>
          <w:b/>
          <w:bCs/>
          <w:sz w:val="24"/>
          <w:szCs w:val="24"/>
          <w:lang w:eastAsia="pt-BR"/>
        </w:rPr>
        <w:t>:</w:t>
      </w:r>
    </w:p>
    <w:p w14:paraId="02E9C9F9" w14:textId="77777777" w:rsidR="00903470" w:rsidRPr="00A61C3A"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Daniel Silva de Oliveira</w:t>
      </w:r>
    </w:p>
    <w:p w14:paraId="5DF61465" w14:textId="77777777" w:rsidR="00357AC4" w:rsidRPr="00357AC4" w:rsidRDefault="00AC60E7"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Antônio Fernando Alves da Gama Morae</w:t>
      </w:r>
      <w:r w:rsidR="00357AC4">
        <w:rPr>
          <w:rFonts w:ascii="Times New Roman" w:eastAsia="Times New Roman" w:hAnsi="Times New Roman" w:cs="Times New Roman"/>
          <w:sz w:val="24"/>
          <w:szCs w:val="24"/>
          <w:lang w:eastAsia="pt-BR"/>
        </w:rPr>
        <w:t>s</w:t>
      </w:r>
    </w:p>
    <w:p w14:paraId="227AF130" w14:textId="77777777" w:rsidR="00A063D7" w:rsidRPr="00A063D7" w:rsidRDefault="00A063D7" w:rsidP="00A063D7">
      <w:pPr>
        <w:ind w:firstLine="0"/>
        <w:jc w:val="both"/>
        <w:rPr>
          <w:rFonts w:ascii="Times New Roman" w:eastAsia="Times New Roman" w:hAnsi="Times New Roman" w:cs="Times New Roman"/>
          <w:sz w:val="24"/>
          <w:szCs w:val="24"/>
          <w:lang w:eastAsia="pt-BR"/>
        </w:rPr>
      </w:pPr>
      <w:proofErr w:type="spellStart"/>
      <w:r w:rsidRPr="00A063D7">
        <w:rPr>
          <w:rFonts w:ascii="Times New Roman" w:eastAsia="Times New Roman" w:hAnsi="Times New Roman" w:cs="Times New Roman"/>
          <w:sz w:val="24"/>
          <w:szCs w:val="24"/>
          <w:lang w:eastAsia="pt-BR"/>
        </w:rPr>
        <w:t>Jeferton</w:t>
      </w:r>
      <w:proofErr w:type="spellEnd"/>
      <w:r w:rsidRPr="00A063D7">
        <w:rPr>
          <w:rFonts w:ascii="Times New Roman" w:eastAsia="Times New Roman" w:hAnsi="Times New Roman" w:cs="Times New Roman"/>
          <w:sz w:val="24"/>
          <w:szCs w:val="24"/>
          <w:lang w:eastAsia="pt-BR"/>
        </w:rPr>
        <w:t xml:space="preserve"> Gomes Fernandes de Oliveira (estagiário)</w:t>
      </w:r>
    </w:p>
    <w:p w14:paraId="1251EEB6" w14:textId="77777777" w:rsidR="00A063D7" w:rsidRDefault="00A063D7" w:rsidP="006676D2">
      <w:pPr>
        <w:ind w:firstLine="0"/>
        <w:jc w:val="both"/>
        <w:rPr>
          <w:rFonts w:ascii="Times New Roman" w:eastAsia="Times New Roman" w:hAnsi="Times New Roman" w:cs="Times New Roman"/>
          <w:b/>
          <w:bCs/>
          <w:sz w:val="24"/>
          <w:szCs w:val="24"/>
          <w:lang w:eastAsia="pt-BR"/>
        </w:rPr>
      </w:pPr>
    </w:p>
    <w:p w14:paraId="7E0063CC" w14:textId="77777777" w:rsidR="00903470" w:rsidRPr="00A61C3A"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 xml:space="preserve">Membros da Auditoria de </w:t>
      </w:r>
      <w:r w:rsidR="003C7BE0">
        <w:rPr>
          <w:rFonts w:ascii="Times New Roman" w:eastAsia="Times New Roman" w:hAnsi="Times New Roman" w:cs="Times New Roman"/>
          <w:b/>
          <w:bCs/>
          <w:sz w:val="24"/>
          <w:szCs w:val="24"/>
          <w:lang w:eastAsia="pt-BR"/>
        </w:rPr>
        <w:t>C</w:t>
      </w:r>
      <w:r w:rsidR="003C7BE0" w:rsidRPr="00A61C3A">
        <w:rPr>
          <w:rFonts w:ascii="Times New Roman" w:eastAsia="Times New Roman" w:hAnsi="Times New Roman" w:cs="Times New Roman"/>
          <w:b/>
          <w:bCs/>
          <w:sz w:val="24"/>
          <w:szCs w:val="24"/>
          <w:lang w:eastAsia="pt-BR"/>
        </w:rPr>
        <w:t xml:space="preserve">onformidade </w:t>
      </w:r>
      <w:r w:rsidRPr="00A61C3A">
        <w:rPr>
          <w:rFonts w:ascii="Times New Roman" w:eastAsia="Times New Roman" w:hAnsi="Times New Roman" w:cs="Times New Roman"/>
          <w:b/>
          <w:bCs/>
          <w:sz w:val="24"/>
          <w:szCs w:val="24"/>
          <w:lang w:eastAsia="pt-BR"/>
        </w:rPr>
        <w:t xml:space="preserve">em </w:t>
      </w:r>
      <w:r w:rsidR="003C7BE0">
        <w:rPr>
          <w:rFonts w:ascii="Times New Roman" w:eastAsia="Times New Roman" w:hAnsi="Times New Roman" w:cs="Times New Roman"/>
          <w:b/>
          <w:bCs/>
          <w:sz w:val="24"/>
          <w:szCs w:val="24"/>
          <w:lang w:eastAsia="pt-BR"/>
        </w:rPr>
        <w:t>G</w:t>
      </w:r>
      <w:r w:rsidR="003C7BE0" w:rsidRPr="00A61C3A">
        <w:rPr>
          <w:rFonts w:ascii="Times New Roman" w:eastAsia="Times New Roman" w:hAnsi="Times New Roman" w:cs="Times New Roman"/>
          <w:b/>
          <w:bCs/>
          <w:sz w:val="24"/>
          <w:szCs w:val="24"/>
          <w:lang w:eastAsia="pt-BR"/>
        </w:rPr>
        <w:t xml:space="preserve">estão </w:t>
      </w:r>
      <w:r w:rsidRPr="00A61C3A">
        <w:rPr>
          <w:rFonts w:ascii="Times New Roman" w:eastAsia="Times New Roman" w:hAnsi="Times New Roman" w:cs="Times New Roman"/>
          <w:b/>
          <w:bCs/>
          <w:sz w:val="24"/>
          <w:szCs w:val="24"/>
          <w:lang w:eastAsia="pt-BR"/>
        </w:rPr>
        <w:t xml:space="preserve">de </w:t>
      </w:r>
      <w:r w:rsidR="003C7BE0">
        <w:rPr>
          <w:rFonts w:ascii="Times New Roman" w:eastAsia="Times New Roman" w:hAnsi="Times New Roman" w:cs="Times New Roman"/>
          <w:b/>
          <w:bCs/>
          <w:sz w:val="24"/>
          <w:szCs w:val="24"/>
          <w:lang w:eastAsia="pt-BR"/>
        </w:rPr>
        <w:t>P</w:t>
      </w:r>
      <w:r w:rsidR="003C7BE0" w:rsidRPr="00A61C3A">
        <w:rPr>
          <w:rFonts w:ascii="Times New Roman" w:eastAsia="Times New Roman" w:hAnsi="Times New Roman" w:cs="Times New Roman"/>
          <w:b/>
          <w:bCs/>
          <w:sz w:val="24"/>
          <w:szCs w:val="24"/>
          <w:lang w:eastAsia="pt-BR"/>
        </w:rPr>
        <w:t>essoas</w:t>
      </w:r>
      <w:r w:rsidRPr="00A61C3A">
        <w:rPr>
          <w:rFonts w:ascii="Times New Roman" w:eastAsia="Times New Roman" w:hAnsi="Times New Roman" w:cs="Times New Roman"/>
          <w:b/>
          <w:bCs/>
          <w:sz w:val="24"/>
          <w:szCs w:val="24"/>
          <w:lang w:eastAsia="pt-BR"/>
        </w:rPr>
        <w:t>:</w:t>
      </w:r>
    </w:p>
    <w:p w14:paraId="70018796" w14:textId="77777777" w:rsidR="00903470" w:rsidRPr="00A61C3A"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Marília do Sagrado Coração Aarão Rocha</w:t>
      </w:r>
    </w:p>
    <w:p w14:paraId="05BB76B6" w14:textId="77777777" w:rsidR="00903470" w:rsidRPr="00A61C3A" w:rsidRDefault="00903470" w:rsidP="006676D2">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Natália Areta de Almeida</w:t>
      </w:r>
    </w:p>
    <w:p w14:paraId="03C5E948" w14:textId="77777777" w:rsidR="00357AC4" w:rsidRPr="006676D2" w:rsidRDefault="00903470" w:rsidP="006676D2">
      <w:pPr>
        <w:ind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Simone Fialho Teixeira Abreu</w:t>
      </w:r>
    </w:p>
    <w:p w14:paraId="5A93155E" w14:textId="77777777" w:rsidR="006676D2" w:rsidRDefault="006676D2" w:rsidP="006676D2">
      <w:pPr>
        <w:ind w:firstLine="0"/>
        <w:jc w:val="both"/>
        <w:rPr>
          <w:rFonts w:ascii="Times New Roman" w:eastAsia="Times New Roman" w:hAnsi="Times New Roman" w:cs="Times New Roman"/>
          <w:b/>
          <w:bCs/>
          <w:sz w:val="24"/>
          <w:szCs w:val="24"/>
          <w:lang w:eastAsia="pt-BR"/>
        </w:rPr>
      </w:pPr>
    </w:p>
    <w:p w14:paraId="76F899DC" w14:textId="4444A605" w:rsidR="00330B8E" w:rsidRDefault="00903470" w:rsidP="00330B8E">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 xml:space="preserve">Órgão/entidade auditada: </w:t>
      </w:r>
      <w:r w:rsidRPr="00A61C3A">
        <w:rPr>
          <w:rFonts w:ascii="Times New Roman" w:eastAsia="Times New Roman" w:hAnsi="Times New Roman" w:cs="Times New Roman"/>
          <w:sz w:val="24"/>
          <w:szCs w:val="24"/>
          <w:lang w:eastAsia="pt-BR"/>
        </w:rPr>
        <w:t>Tribunal Regional Federal da 6ª Região</w:t>
      </w:r>
    </w:p>
    <w:p w14:paraId="6ED9F27B" w14:textId="77777777" w:rsidR="00FB7BFB" w:rsidRDefault="00FB7BFB" w:rsidP="00330B8E">
      <w:pPr>
        <w:ind w:firstLine="0"/>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7650"/>
      </w:tblGrid>
      <w:tr w:rsidR="001F006E" w:rsidRPr="001F006E" w14:paraId="66BB6F5D" w14:textId="77777777" w:rsidTr="00FB7BFB">
        <w:tc>
          <w:tcPr>
            <w:tcW w:w="7650" w:type="dxa"/>
            <w:shd w:val="clear" w:color="auto" w:fill="D9D9D9" w:themeFill="background1" w:themeFillShade="D9"/>
          </w:tcPr>
          <w:p w14:paraId="1F0A3C63" w14:textId="7151A091" w:rsidR="001F006E" w:rsidRPr="001F006E" w:rsidRDefault="001F006E" w:rsidP="006676D2">
            <w:pPr>
              <w:ind w:firstLine="0"/>
              <w:jc w:val="both"/>
              <w:rPr>
                <w:rFonts w:ascii="Times New Roman" w:eastAsia="Times New Roman" w:hAnsi="Times New Roman" w:cs="Times New Roman"/>
                <w:sz w:val="20"/>
                <w:szCs w:val="20"/>
                <w:lang w:eastAsia="pt-BR"/>
              </w:rPr>
            </w:pPr>
            <w:r w:rsidRPr="001F006E">
              <w:rPr>
                <w:rFonts w:ascii="Times New Roman" w:eastAsia="Times New Roman" w:hAnsi="Times New Roman" w:cs="Times New Roman"/>
                <w:b/>
                <w:bCs/>
                <w:sz w:val="20"/>
                <w:szCs w:val="20"/>
                <w:lang w:eastAsia="pt-BR"/>
              </w:rPr>
              <w:t>Unidades orçamentárias:</w:t>
            </w:r>
            <w:r w:rsidRPr="001F006E">
              <w:rPr>
                <w:rFonts w:ascii="Times New Roman" w:eastAsia="Times New Roman" w:hAnsi="Times New Roman" w:cs="Times New Roman"/>
                <w:sz w:val="20"/>
                <w:szCs w:val="20"/>
                <w:lang w:eastAsia="pt-BR"/>
              </w:rPr>
              <w:t xml:space="preserve"> 12101 e 12107</w:t>
            </w:r>
          </w:p>
        </w:tc>
      </w:tr>
      <w:tr w:rsidR="001F006E" w:rsidRPr="001F006E" w14:paraId="4C792DC4" w14:textId="77777777" w:rsidTr="00FB7BFB">
        <w:tc>
          <w:tcPr>
            <w:tcW w:w="7650" w:type="dxa"/>
            <w:shd w:val="clear" w:color="auto" w:fill="D9D9D9" w:themeFill="background1" w:themeFillShade="D9"/>
          </w:tcPr>
          <w:p w14:paraId="3FAC34FA" w14:textId="06ED1F96" w:rsidR="001F006E" w:rsidRPr="001F006E" w:rsidRDefault="001F006E" w:rsidP="006676D2">
            <w:pPr>
              <w:ind w:firstLine="0"/>
              <w:jc w:val="both"/>
              <w:rPr>
                <w:rFonts w:ascii="Times New Roman" w:eastAsia="Times New Roman" w:hAnsi="Times New Roman" w:cs="Times New Roman"/>
                <w:sz w:val="20"/>
                <w:szCs w:val="20"/>
                <w:lang w:eastAsia="pt-BR"/>
              </w:rPr>
            </w:pPr>
            <w:r w:rsidRPr="001F006E">
              <w:rPr>
                <w:rFonts w:ascii="Times New Roman" w:eastAsia="Times New Roman" w:hAnsi="Times New Roman" w:cs="Times New Roman"/>
                <w:b/>
                <w:bCs/>
                <w:sz w:val="20"/>
                <w:szCs w:val="20"/>
                <w:lang w:eastAsia="pt-BR"/>
              </w:rPr>
              <w:t>Unidades gestoras pertencentes à entidade (</w:t>
            </w:r>
            <w:proofErr w:type="spellStart"/>
            <w:r w:rsidRPr="001F006E">
              <w:rPr>
                <w:rFonts w:ascii="Times New Roman" w:eastAsia="Times New Roman" w:hAnsi="Times New Roman" w:cs="Times New Roman"/>
                <w:b/>
                <w:bCs/>
                <w:sz w:val="20"/>
                <w:szCs w:val="20"/>
                <w:lang w:eastAsia="pt-BR"/>
              </w:rPr>
              <w:t>UG's</w:t>
            </w:r>
            <w:proofErr w:type="spellEnd"/>
            <w:r w:rsidRPr="001F006E">
              <w:rPr>
                <w:rFonts w:ascii="Times New Roman" w:eastAsia="Times New Roman" w:hAnsi="Times New Roman" w:cs="Times New Roman"/>
                <w:b/>
                <w:bCs/>
                <w:sz w:val="20"/>
                <w:szCs w:val="20"/>
                <w:lang w:eastAsia="pt-BR"/>
              </w:rPr>
              <w:t>):</w:t>
            </w:r>
          </w:p>
        </w:tc>
      </w:tr>
      <w:tr w:rsidR="001F006E" w:rsidRPr="001F006E" w14:paraId="52A89CA0" w14:textId="77777777" w:rsidTr="00FB7BFB">
        <w:tc>
          <w:tcPr>
            <w:tcW w:w="7650" w:type="dxa"/>
          </w:tcPr>
          <w:p w14:paraId="5FDD94F6" w14:textId="01641D74" w:rsidR="001F006E" w:rsidRPr="001F006E" w:rsidRDefault="001F006E" w:rsidP="006676D2">
            <w:pPr>
              <w:ind w:firstLine="0"/>
              <w:jc w:val="both"/>
              <w:rPr>
                <w:rFonts w:ascii="Times New Roman" w:eastAsia="Times New Roman" w:hAnsi="Times New Roman" w:cs="Times New Roman"/>
                <w:sz w:val="20"/>
                <w:szCs w:val="20"/>
                <w:lang w:eastAsia="pt-BR"/>
              </w:rPr>
            </w:pPr>
            <w:r w:rsidRPr="001F006E">
              <w:rPr>
                <w:rFonts w:ascii="Times New Roman" w:eastAsia="Times New Roman" w:hAnsi="Times New Roman" w:cs="Times New Roman"/>
                <w:color w:val="000000"/>
                <w:sz w:val="20"/>
                <w:szCs w:val="20"/>
                <w:lang w:eastAsia="pt-BR"/>
              </w:rPr>
              <w:t>090058 - TRF6 - Orçamentária</w:t>
            </w:r>
          </w:p>
        </w:tc>
      </w:tr>
      <w:tr w:rsidR="001F006E" w:rsidRPr="001F006E" w14:paraId="334AE5B9" w14:textId="77777777" w:rsidTr="00FB7BFB">
        <w:tc>
          <w:tcPr>
            <w:tcW w:w="7650" w:type="dxa"/>
          </w:tcPr>
          <w:p w14:paraId="298D7840" w14:textId="11734BBC" w:rsidR="001F006E" w:rsidRPr="001F006E" w:rsidRDefault="001F006E" w:rsidP="006676D2">
            <w:pPr>
              <w:ind w:firstLine="0"/>
              <w:jc w:val="both"/>
              <w:rPr>
                <w:rFonts w:ascii="Times New Roman" w:eastAsia="Times New Roman" w:hAnsi="Times New Roman" w:cs="Times New Roman"/>
                <w:sz w:val="20"/>
                <w:szCs w:val="20"/>
                <w:lang w:eastAsia="pt-BR"/>
              </w:rPr>
            </w:pPr>
            <w:r w:rsidRPr="001F006E">
              <w:rPr>
                <w:rFonts w:ascii="Times New Roman" w:eastAsia="Times New Roman" w:hAnsi="Times New Roman" w:cs="Times New Roman"/>
                <w:color w:val="000000"/>
                <w:sz w:val="20"/>
                <w:szCs w:val="20"/>
                <w:lang w:eastAsia="pt-BR"/>
              </w:rPr>
              <w:t>090059 - TRF6 - Executora</w:t>
            </w:r>
          </w:p>
        </w:tc>
      </w:tr>
      <w:tr w:rsidR="001F006E" w:rsidRPr="001F006E" w14:paraId="6ACA6E8A" w14:textId="77777777" w:rsidTr="00FB7BFB">
        <w:tc>
          <w:tcPr>
            <w:tcW w:w="7650" w:type="dxa"/>
          </w:tcPr>
          <w:p w14:paraId="5B5BC611" w14:textId="4D3FFC3E" w:rsidR="001F006E" w:rsidRPr="001F006E" w:rsidRDefault="001F006E" w:rsidP="006676D2">
            <w:pPr>
              <w:ind w:firstLine="0"/>
              <w:jc w:val="both"/>
              <w:rPr>
                <w:rFonts w:ascii="Times New Roman" w:eastAsia="Times New Roman" w:hAnsi="Times New Roman" w:cs="Times New Roman"/>
                <w:sz w:val="20"/>
                <w:szCs w:val="20"/>
                <w:lang w:eastAsia="pt-BR"/>
              </w:rPr>
            </w:pPr>
            <w:r w:rsidRPr="001F006E">
              <w:rPr>
                <w:rFonts w:ascii="Times New Roman" w:eastAsia="Times New Roman" w:hAnsi="Times New Roman" w:cs="Times New Roman"/>
                <w:color w:val="000000"/>
                <w:sz w:val="20"/>
                <w:szCs w:val="20"/>
                <w:lang w:eastAsia="pt-BR"/>
              </w:rPr>
              <w:t>090060 - TRF6 - Precatórios/RPV</w:t>
            </w:r>
          </w:p>
        </w:tc>
      </w:tr>
      <w:tr w:rsidR="001F006E" w:rsidRPr="001F006E" w14:paraId="4F11E54F" w14:textId="77777777" w:rsidTr="00FB7BFB">
        <w:tc>
          <w:tcPr>
            <w:tcW w:w="7650" w:type="dxa"/>
          </w:tcPr>
          <w:p w14:paraId="72FF8157" w14:textId="04571806" w:rsidR="001F006E" w:rsidRPr="001F006E" w:rsidRDefault="001F006E" w:rsidP="006676D2">
            <w:pPr>
              <w:ind w:firstLine="0"/>
              <w:jc w:val="both"/>
              <w:rPr>
                <w:rFonts w:ascii="Times New Roman" w:eastAsia="Times New Roman" w:hAnsi="Times New Roman" w:cs="Times New Roman"/>
                <w:sz w:val="20"/>
                <w:szCs w:val="20"/>
                <w:lang w:eastAsia="pt-BR"/>
              </w:rPr>
            </w:pPr>
            <w:r w:rsidRPr="001F006E">
              <w:rPr>
                <w:rFonts w:ascii="Times New Roman" w:eastAsia="Times New Roman" w:hAnsi="Times New Roman" w:cs="Times New Roman"/>
                <w:color w:val="000000"/>
                <w:sz w:val="20"/>
                <w:szCs w:val="20"/>
                <w:lang w:eastAsia="pt-BR"/>
              </w:rPr>
              <w:t>090061 - TRF6 - EMAGIS</w:t>
            </w:r>
          </w:p>
        </w:tc>
      </w:tr>
      <w:tr w:rsidR="001F006E" w:rsidRPr="001F006E" w14:paraId="443D3275" w14:textId="77777777" w:rsidTr="00FB7BFB">
        <w:tc>
          <w:tcPr>
            <w:tcW w:w="7650" w:type="dxa"/>
          </w:tcPr>
          <w:p w14:paraId="7C96E787" w14:textId="0F9ACDA0" w:rsidR="001F006E" w:rsidRPr="001F006E" w:rsidRDefault="001F006E" w:rsidP="006676D2">
            <w:pPr>
              <w:ind w:firstLine="0"/>
              <w:jc w:val="both"/>
              <w:rPr>
                <w:rFonts w:ascii="Times New Roman" w:eastAsia="Times New Roman" w:hAnsi="Times New Roman" w:cs="Times New Roman"/>
                <w:sz w:val="20"/>
                <w:szCs w:val="20"/>
                <w:lang w:eastAsia="pt-BR"/>
              </w:rPr>
            </w:pPr>
            <w:r w:rsidRPr="001F006E">
              <w:rPr>
                <w:rFonts w:ascii="Times New Roman" w:eastAsia="Times New Roman" w:hAnsi="Times New Roman" w:cs="Times New Roman"/>
                <w:color w:val="000000"/>
                <w:sz w:val="20"/>
                <w:szCs w:val="20"/>
                <w:lang w:eastAsia="pt-BR"/>
              </w:rPr>
              <w:t>090013 - Seção Judiciária de Minas Gerais</w:t>
            </w:r>
          </w:p>
        </w:tc>
      </w:tr>
    </w:tbl>
    <w:p w14:paraId="76745F93" w14:textId="77777777" w:rsidR="001F006E" w:rsidRDefault="001F006E" w:rsidP="006676D2">
      <w:pPr>
        <w:ind w:firstLine="0"/>
        <w:jc w:val="both"/>
        <w:rPr>
          <w:rFonts w:ascii="Times New Roman" w:eastAsia="Times New Roman" w:hAnsi="Times New Roman" w:cs="Times New Roman"/>
          <w:sz w:val="24"/>
          <w:szCs w:val="24"/>
          <w:lang w:eastAsia="pt-BR"/>
        </w:rPr>
      </w:pPr>
    </w:p>
    <w:p w14:paraId="53E241C5" w14:textId="77777777" w:rsidR="00903470" w:rsidRPr="00A61C3A" w:rsidRDefault="00903470" w:rsidP="007228C7">
      <w:pPr>
        <w:ind w:right="119"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Responsável pelo órgão:</w:t>
      </w:r>
    </w:p>
    <w:p w14:paraId="2A020B78" w14:textId="77777777" w:rsidR="006925A2" w:rsidRPr="006925A2" w:rsidRDefault="006925A2" w:rsidP="007228C7">
      <w:pPr>
        <w:ind w:right="119" w:firstLine="0"/>
        <w:jc w:val="both"/>
        <w:rPr>
          <w:rFonts w:ascii="Times New Roman" w:hAnsi="Times New Roman" w:cs="Times New Roman"/>
          <w:color w:val="000000"/>
          <w:sz w:val="24"/>
          <w:szCs w:val="24"/>
        </w:rPr>
      </w:pPr>
      <w:proofErr w:type="spellStart"/>
      <w:r w:rsidRPr="006925A2">
        <w:rPr>
          <w:rFonts w:ascii="Times New Roman" w:hAnsi="Times New Roman" w:cs="Times New Roman"/>
          <w:color w:val="000000"/>
          <w:sz w:val="24"/>
          <w:szCs w:val="24"/>
        </w:rPr>
        <w:t>Vallisney</w:t>
      </w:r>
      <w:proofErr w:type="spellEnd"/>
      <w:r w:rsidRPr="006925A2">
        <w:rPr>
          <w:rFonts w:ascii="Times New Roman" w:hAnsi="Times New Roman" w:cs="Times New Roman"/>
          <w:color w:val="000000"/>
          <w:sz w:val="24"/>
          <w:szCs w:val="24"/>
        </w:rPr>
        <w:t xml:space="preserve"> de Souza Oliveira</w:t>
      </w:r>
    </w:p>
    <w:p w14:paraId="2B7EB976" w14:textId="77777777" w:rsidR="007228C7" w:rsidRDefault="007228C7" w:rsidP="007228C7">
      <w:pPr>
        <w:ind w:right="119" w:firstLine="0"/>
        <w:jc w:val="both"/>
        <w:rPr>
          <w:rFonts w:ascii="Times New Roman" w:eastAsia="Times New Roman" w:hAnsi="Times New Roman" w:cs="Times New Roman"/>
          <w:b/>
          <w:bCs/>
          <w:color w:val="000000"/>
          <w:sz w:val="24"/>
          <w:szCs w:val="24"/>
          <w:lang w:eastAsia="pt-BR"/>
        </w:rPr>
      </w:pPr>
    </w:p>
    <w:p w14:paraId="379DA68E" w14:textId="77777777" w:rsidR="00903470" w:rsidRPr="00A61C3A" w:rsidRDefault="00903470" w:rsidP="007228C7">
      <w:pPr>
        <w:ind w:right="119"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color w:val="000000"/>
          <w:sz w:val="24"/>
          <w:szCs w:val="24"/>
          <w:lang w:eastAsia="pt-BR"/>
        </w:rPr>
        <w:t xml:space="preserve">Cargo: </w:t>
      </w:r>
      <w:r w:rsidRPr="00A61C3A">
        <w:rPr>
          <w:rFonts w:ascii="Times New Roman" w:eastAsia="Times New Roman" w:hAnsi="Times New Roman" w:cs="Times New Roman"/>
          <w:color w:val="000000"/>
          <w:sz w:val="24"/>
          <w:szCs w:val="24"/>
          <w:lang w:eastAsia="pt-BR"/>
        </w:rPr>
        <w:t>Presidente do Tribunal Regional Federal da 6ª Região</w:t>
      </w:r>
    </w:p>
    <w:p w14:paraId="086C0D87" w14:textId="06D38C78" w:rsidR="007801DD" w:rsidRDefault="00903470" w:rsidP="00946FE0">
      <w:pPr>
        <w:ind w:right="119" w:firstLine="0"/>
        <w:jc w:val="both"/>
      </w:pPr>
      <w:r w:rsidRPr="00CB24CD">
        <w:rPr>
          <w:rFonts w:ascii="Times New Roman" w:eastAsia="Times New Roman" w:hAnsi="Times New Roman" w:cs="Times New Roman"/>
          <w:b/>
          <w:bCs/>
          <w:color w:val="000000"/>
          <w:sz w:val="24"/>
          <w:szCs w:val="24"/>
          <w:lang w:eastAsia="pt-BR"/>
        </w:rPr>
        <w:t xml:space="preserve">Período: </w:t>
      </w:r>
      <w:r w:rsidRPr="00CB24CD">
        <w:rPr>
          <w:rFonts w:ascii="Times New Roman" w:eastAsia="Times New Roman" w:hAnsi="Times New Roman" w:cs="Times New Roman"/>
          <w:color w:val="000000"/>
          <w:sz w:val="24"/>
          <w:szCs w:val="24"/>
          <w:lang w:eastAsia="pt-BR"/>
        </w:rPr>
        <w:t>de</w:t>
      </w:r>
      <w:r w:rsidR="004D5E90" w:rsidRPr="00CB24CD">
        <w:rPr>
          <w:rFonts w:ascii="Times New Roman" w:eastAsia="Times New Roman" w:hAnsi="Times New Roman" w:cs="Times New Roman"/>
          <w:color w:val="000000"/>
          <w:sz w:val="24"/>
          <w:szCs w:val="24"/>
          <w:lang w:eastAsia="pt-BR"/>
        </w:rPr>
        <w:t>sde 23</w:t>
      </w:r>
      <w:r w:rsidR="00DD23F5" w:rsidRPr="00CB24CD">
        <w:rPr>
          <w:rFonts w:ascii="Times New Roman" w:eastAsia="Times New Roman" w:hAnsi="Times New Roman" w:cs="Times New Roman"/>
          <w:color w:val="000000"/>
          <w:sz w:val="24"/>
          <w:szCs w:val="24"/>
          <w:lang w:eastAsia="pt-BR"/>
        </w:rPr>
        <w:t>/08/2024</w:t>
      </w:r>
      <w:r w:rsidR="006925A2" w:rsidRPr="00CB24CD">
        <w:rPr>
          <w:rFonts w:ascii="Times New Roman" w:eastAsia="Times New Roman" w:hAnsi="Times New Roman" w:cs="Times New Roman"/>
          <w:color w:val="000000"/>
          <w:sz w:val="24"/>
          <w:szCs w:val="24"/>
          <w:lang w:eastAsia="pt-BR"/>
        </w:rPr>
        <w:t xml:space="preserve"> – Termo de Posse </w:t>
      </w:r>
      <w:r w:rsidR="006925A2" w:rsidRPr="00B7185F">
        <w:rPr>
          <w:rFonts w:ascii="Times New Roman" w:hAnsi="Times New Roman" w:cs="Times New Roman"/>
          <w:sz w:val="24"/>
          <w:szCs w:val="24"/>
        </w:rPr>
        <w:t>0906122</w:t>
      </w:r>
    </w:p>
    <w:p w14:paraId="59EC772E" w14:textId="77777777" w:rsidR="000B09CF" w:rsidRDefault="000B09CF" w:rsidP="00946FE0">
      <w:pPr>
        <w:ind w:right="119" w:firstLine="0"/>
        <w:jc w:val="both"/>
        <w:rPr>
          <w:sz w:val="24"/>
          <w:szCs w:val="24"/>
        </w:rPr>
      </w:pPr>
    </w:p>
    <w:p w14:paraId="5793418E" w14:textId="77777777" w:rsidR="000B09CF" w:rsidRPr="00A61C3A" w:rsidRDefault="000B09CF" w:rsidP="00946FE0">
      <w:pPr>
        <w:ind w:right="119" w:firstLine="0"/>
        <w:jc w:val="both"/>
        <w:rPr>
          <w:rFonts w:ascii="Times New Roman" w:eastAsia="Times New Roman" w:hAnsi="Times New Roman" w:cs="Times New Roman"/>
          <w:sz w:val="24"/>
          <w:szCs w:val="24"/>
          <w:lang w:eastAsia="pt-BR"/>
        </w:rPr>
      </w:pPr>
    </w:p>
    <w:tbl>
      <w:tblPr>
        <w:tblStyle w:val="Tabelacomgrade"/>
        <w:tblW w:w="0" w:type="auto"/>
        <w:jc w:val="center"/>
        <w:tblLook w:val="04A0" w:firstRow="1" w:lastRow="0" w:firstColumn="1" w:lastColumn="0" w:noHBand="0" w:noVBand="1"/>
      </w:tblPr>
      <w:tblGrid>
        <w:gridCol w:w="9344"/>
      </w:tblGrid>
      <w:tr w:rsidR="00AD68CA" w:rsidRPr="00313D8E" w14:paraId="6DA11915" w14:textId="77777777" w:rsidTr="00AD68CA">
        <w:trPr>
          <w:jc w:val="center"/>
        </w:trPr>
        <w:tc>
          <w:tcPr>
            <w:tcW w:w="0" w:type="auto"/>
            <w:shd w:val="clear" w:color="auto" w:fill="EDEDED" w:themeFill="accent3" w:themeFillTint="33"/>
          </w:tcPr>
          <w:p w14:paraId="344F9F5A" w14:textId="77777777" w:rsidR="00AD68CA" w:rsidRPr="00313D8E" w:rsidRDefault="00AD68CA" w:rsidP="007228C7">
            <w:pPr>
              <w:ind w:firstLine="0"/>
              <w:jc w:val="center"/>
              <w:rPr>
                <w:rFonts w:ascii="Times New Roman" w:hAnsi="Times New Roman" w:cs="Times New Roman"/>
                <w:b/>
              </w:rPr>
            </w:pPr>
            <w:bookmarkStart w:id="0" w:name="_Toc67064347"/>
            <w:r w:rsidRPr="00313D8E">
              <w:rPr>
                <w:rFonts w:ascii="Times New Roman" w:hAnsi="Times New Roman" w:cs="Times New Roman"/>
                <w:b/>
              </w:rPr>
              <w:lastRenderedPageBreak/>
              <w:t>SUMÁRIO</w:t>
            </w:r>
          </w:p>
        </w:tc>
      </w:tr>
      <w:tr w:rsidR="00AD68CA" w:rsidRPr="00313D8E" w14:paraId="7DBC4318" w14:textId="77777777" w:rsidTr="00AD68CA">
        <w:trPr>
          <w:jc w:val="center"/>
        </w:trPr>
        <w:tc>
          <w:tcPr>
            <w:tcW w:w="0" w:type="auto"/>
          </w:tcPr>
          <w:p w14:paraId="584C2F37"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b/>
                <w:bCs/>
                <w:lang w:eastAsia="pt-BR"/>
              </w:rPr>
              <w:t>1. APRESENTAÇÃO</w:t>
            </w:r>
          </w:p>
        </w:tc>
      </w:tr>
      <w:tr w:rsidR="00AD68CA" w:rsidRPr="00313D8E" w14:paraId="17FB3A7C" w14:textId="77777777" w:rsidTr="00AD68CA">
        <w:trPr>
          <w:jc w:val="center"/>
        </w:trPr>
        <w:tc>
          <w:tcPr>
            <w:tcW w:w="0" w:type="auto"/>
          </w:tcPr>
          <w:p w14:paraId="3A66E20F"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b/>
                <w:bCs/>
                <w:lang w:eastAsia="pt-BR"/>
              </w:rPr>
              <w:t>2. INTRODUÇÃO</w:t>
            </w:r>
          </w:p>
        </w:tc>
      </w:tr>
      <w:tr w:rsidR="00AD68CA" w:rsidRPr="00313D8E" w14:paraId="2F8B297B" w14:textId="77777777" w:rsidTr="00AD68CA">
        <w:trPr>
          <w:jc w:val="center"/>
        </w:trPr>
        <w:tc>
          <w:tcPr>
            <w:tcW w:w="0" w:type="auto"/>
          </w:tcPr>
          <w:p w14:paraId="1BFF6324"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2.1</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Visão geral do objeto</w:t>
            </w:r>
          </w:p>
        </w:tc>
      </w:tr>
      <w:tr w:rsidR="00AD68CA" w:rsidRPr="00313D8E" w14:paraId="409CB789" w14:textId="77777777" w:rsidTr="00AD68CA">
        <w:trPr>
          <w:jc w:val="center"/>
        </w:trPr>
        <w:tc>
          <w:tcPr>
            <w:tcW w:w="0" w:type="auto"/>
          </w:tcPr>
          <w:p w14:paraId="08C31F84"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2.2</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Objeto, objetivos e escopo da auditoria</w:t>
            </w:r>
          </w:p>
        </w:tc>
      </w:tr>
      <w:tr w:rsidR="00AD68CA" w:rsidRPr="00313D8E" w14:paraId="6241394C" w14:textId="77777777" w:rsidTr="00AD68CA">
        <w:trPr>
          <w:jc w:val="center"/>
        </w:trPr>
        <w:tc>
          <w:tcPr>
            <w:tcW w:w="0" w:type="auto"/>
          </w:tcPr>
          <w:p w14:paraId="5739DF88"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2.3</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Não escopo</w:t>
            </w:r>
          </w:p>
        </w:tc>
      </w:tr>
      <w:tr w:rsidR="00AD68CA" w:rsidRPr="00313D8E" w14:paraId="63DCA28E" w14:textId="77777777" w:rsidTr="00AD68CA">
        <w:trPr>
          <w:jc w:val="center"/>
        </w:trPr>
        <w:tc>
          <w:tcPr>
            <w:tcW w:w="0" w:type="auto"/>
          </w:tcPr>
          <w:p w14:paraId="7B401117"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2.4</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Metodologia e limitações inerentes à auditoria</w:t>
            </w:r>
          </w:p>
        </w:tc>
      </w:tr>
      <w:tr w:rsidR="00AD68CA" w:rsidRPr="00313D8E" w14:paraId="318ED2A6" w14:textId="77777777" w:rsidTr="00AD68CA">
        <w:trPr>
          <w:jc w:val="center"/>
        </w:trPr>
        <w:tc>
          <w:tcPr>
            <w:tcW w:w="0" w:type="auto"/>
          </w:tcPr>
          <w:p w14:paraId="2254FD86"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2.4.1</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Metodologia</w:t>
            </w:r>
          </w:p>
        </w:tc>
      </w:tr>
      <w:tr w:rsidR="00AD68CA" w:rsidRPr="00313D8E" w14:paraId="19731269" w14:textId="77777777" w:rsidTr="00AD68CA">
        <w:trPr>
          <w:jc w:val="center"/>
        </w:trPr>
        <w:tc>
          <w:tcPr>
            <w:tcW w:w="0" w:type="auto"/>
          </w:tcPr>
          <w:p w14:paraId="4F340365"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2.4.2</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Limitações inerentes à auditoria</w:t>
            </w:r>
          </w:p>
        </w:tc>
      </w:tr>
      <w:tr w:rsidR="00AD68CA" w:rsidRPr="00313D8E" w14:paraId="0AF2164C" w14:textId="77777777" w:rsidTr="00AD68CA">
        <w:trPr>
          <w:jc w:val="center"/>
        </w:trPr>
        <w:tc>
          <w:tcPr>
            <w:tcW w:w="0" w:type="auto"/>
          </w:tcPr>
          <w:p w14:paraId="6E95FC04"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2.5</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Volume de recursos auditados</w:t>
            </w:r>
          </w:p>
        </w:tc>
      </w:tr>
      <w:tr w:rsidR="00AD68CA" w:rsidRPr="00313D8E" w14:paraId="45BC19EF" w14:textId="77777777" w:rsidTr="00AD68CA">
        <w:trPr>
          <w:jc w:val="center"/>
        </w:trPr>
        <w:tc>
          <w:tcPr>
            <w:tcW w:w="0" w:type="auto"/>
          </w:tcPr>
          <w:p w14:paraId="044E2A5E"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2.6</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Benefícios da auditoria</w:t>
            </w:r>
          </w:p>
        </w:tc>
      </w:tr>
      <w:tr w:rsidR="00AD68CA" w:rsidRPr="00313D8E" w14:paraId="7DF7CE9D" w14:textId="77777777" w:rsidTr="00AD68CA">
        <w:trPr>
          <w:jc w:val="center"/>
        </w:trPr>
        <w:tc>
          <w:tcPr>
            <w:tcW w:w="0" w:type="auto"/>
          </w:tcPr>
          <w:p w14:paraId="5C3BD218"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b/>
                <w:bCs/>
                <w:lang w:eastAsia="pt-BR"/>
              </w:rPr>
              <w:t>3. ACHADOS DE AUDITORIA</w:t>
            </w:r>
          </w:p>
        </w:tc>
      </w:tr>
      <w:tr w:rsidR="00AD68CA" w:rsidRPr="00313D8E" w14:paraId="6D87DBE0" w14:textId="77777777" w:rsidTr="00AD68CA">
        <w:trPr>
          <w:jc w:val="center"/>
        </w:trPr>
        <w:tc>
          <w:tcPr>
            <w:tcW w:w="0" w:type="auto"/>
          </w:tcPr>
          <w:p w14:paraId="26BE4C75"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3.1</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Distorções de Valores</w:t>
            </w:r>
          </w:p>
        </w:tc>
      </w:tr>
      <w:tr w:rsidR="00AD68CA" w:rsidRPr="00313D8E" w14:paraId="1183F26A" w14:textId="77777777" w:rsidTr="00AD68CA">
        <w:trPr>
          <w:jc w:val="center"/>
        </w:trPr>
        <w:tc>
          <w:tcPr>
            <w:tcW w:w="0" w:type="auto"/>
          </w:tcPr>
          <w:p w14:paraId="100B0322"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3.2</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Distorções de classificação, apresentação ou divulgação</w:t>
            </w:r>
          </w:p>
        </w:tc>
      </w:tr>
      <w:tr w:rsidR="00AD68CA" w:rsidRPr="00313D8E" w14:paraId="6E3A3295" w14:textId="77777777" w:rsidTr="00AD68CA">
        <w:trPr>
          <w:jc w:val="center"/>
        </w:trPr>
        <w:tc>
          <w:tcPr>
            <w:tcW w:w="0" w:type="auto"/>
          </w:tcPr>
          <w:p w14:paraId="0DF795CB"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lang w:eastAsia="pt-BR"/>
              </w:rPr>
              <w:t>3.3</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Não conformidades</w:t>
            </w:r>
          </w:p>
        </w:tc>
      </w:tr>
      <w:tr w:rsidR="00AD68CA" w:rsidRPr="00313D8E" w14:paraId="0472C688" w14:textId="77777777" w:rsidTr="00AD68CA">
        <w:trPr>
          <w:jc w:val="center"/>
        </w:trPr>
        <w:tc>
          <w:tcPr>
            <w:tcW w:w="0" w:type="auto"/>
          </w:tcPr>
          <w:p w14:paraId="49B373EA" w14:textId="77777777" w:rsidR="00AD68CA" w:rsidRPr="00313D8E" w:rsidRDefault="00AD68CA" w:rsidP="007228C7">
            <w:pPr>
              <w:ind w:firstLine="0"/>
              <w:rPr>
                <w:rFonts w:ascii="Times New Roman" w:hAnsi="Times New Roman" w:cs="Times New Roman"/>
              </w:rPr>
            </w:pPr>
            <w:r w:rsidRPr="00313D8E">
              <w:rPr>
                <w:rFonts w:ascii="Times New Roman" w:eastAsia="Times New Roman" w:hAnsi="Times New Roman" w:cs="Times New Roman"/>
                <w:b/>
                <w:bCs/>
                <w:lang w:eastAsia="pt-BR"/>
              </w:rPr>
              <w:t>4. DEFICIÊNCIAS SIGNIFICATIVAS DE CONTROLE INTERNO</w:t>
            </w:r>
          </w:p>
        </w:tc>
      </w:tr>
      <w:tr w:rsidR="00AD68CA" w:rsidRPr="00313D8E" w14:paraId="53008F13" w14:textId="77777777" w:rsidTr="00AD68CA">
        <w:trPr>
          <w:jc w:val="center"/>
        </w:trPr>
        <w:tc>
          <w:tcPr>
            <w:tcW w:w="0" w:type="auto"/>
          </w:tcPr>
          <w:p w14:paraId="4236FFCF" w14:textId="46F5C6C9" w:rsidR="00AD68CA" w:rsidRPr="000215DB" w:rsidRDefault="00AD68CA" w:rsidP="007228C7">
            <w:pPr>
              <w:ind w:firstLine="0"/>
              <w:rPr>
                <w:rFonts w:ascii="Times New Roman" w:hAnsi="Times New Roman" w:cs="Times New Roman"/>
              </w:rPr>
            </w:pPr>
            <w:r w:rsidRPr="000215DB">
              <w:rPr>
                <w:rFonts w:ascii="Times New Roman" w:eastAsia="Times New Roman" w:hAnsi="Times New Roman" w:cs="Times New Roman"/>
                <w:lang w:eastAsia="pt-BR"/>
              </w:rPr>
              <w:t xml:space="preserve">4.1. </w:t>
            </w:r>
            <w:r w:rsidR="000215DB" w:rsidRPr="000215DB">
              <w:rPr>
                <w:rFonts w:ascii="Times New Roman" w:eastAsia="Times New Roman" w:hAnsi="Times New Roman" w:cs="Times New Roman"/>
                <w:lang w:eastAsia="pt-BR"/>
              </w:rPr>
              <w:t>Bens de pequeno valor registrado no ativo do Tribunal e da SJMG</w:t>
            </w:r>
          </w:p>
        </w:tc>
      </w:tr>
      <w:tr w:rsidR="00AD68CA" w:rsidRPr="00313D8E" w14:paraId="0C8E01B4" w14:textId="77777777" w:rsidTr="00AD68CA">
        <w:trPr>
          <w:jc w:val="center"/>
        </w:trPr>
        <w:tc>
          <w:tcPr>
            <w:tcW w:w="0" w:type="auto"/>
          </w:tcPr>
          <w:p w14:paraId="577DB4CD" w14:textId="3CFFAF95" w:rsidR="00AD68CA" w:rsidRPr="000215DB" w:rsidRDefault="00AD68CA" w:rsidP="000F30D8">
            <w:pPr>
              <w:ind w:firstLine="0"/>
              <w:jc w:val="both"/>
              <w:rPr>
                <w:rFonts w:ascii="Times New Roman" w:hAnsi="Times New Roman" w:cs="Times New Roman"/>
              </w:rPr>
            </w:pPr>
            <w:r w:rsidRPr="000215DB">
              <w:rPr>
                <w:rFonts w:ascii="Times New Roman" w:eastAsia="Times New Roman" w:hAnsi="Times New Roman" w:cs="Times New Roman"/>
                <w:lang w:eastAsia="pt-BR"/>
              </w:rPr>
              <w:t>4.2. </w:t>
            </w:r>
            <w:r w:rsidR="000215DB" w:rsidRPr="000215DB">
              <w:rPr>
                <w:rFonts w:ascii="Times New Roman" w:eastAsia="Times New Roman" w:hAnsi="Times New Roman" w:cs="Times New Roman"/>
                <w:color w:val="000000"/>
                <w:lang w:eastAsia="pt-BR"/>
              </w:rPr>
              <w:t xml:space="preserve">Baixa de bens não localizados sem observância integral dos procedimentos previstos na </w:t>
            </w:r>
            <w:proofErr w:type="spellStart"/>
            <w:r w:rsidR="000215DB" w:rsidRPr="000215DB">
              <w:rPr>
                <w:rFonts w:ascii="Times New Roman" w:eastAsia="Times New Roman" w:hAnsi="Times New Roman" w:cs="Times New Roman"/>
                <w:color w:val="000000"/>
                <w:lang w:eastAsia="pt-BR"/>
              </w:rPr>
              <w:t>Macrofunção</w:t>
            </w:r>
            <w:proofErr w:type="spellEnd"/>
            <w:r w:rsidR="000215DB" w:rsidRPr="000215DB">
              <w:rPr>
                <w:rFonts w:ascii="Times New Roman" w:eastAsia="Times New Roman" w:hAnsi="Times New Roman" w:cs="Times New Roman"/>
                <w:color w:val="000000"/>
                <w:lang w:eastAsia="pt-BR"/>
              </w:rPr>
              <w:t xml:space="preserve"> SIAFI 020330 e da IN 14-15 do TRF1</w:t>
            </w:r>
          </w:p>
        </w:tc>
      </w:tr>
      <w:tr w:rsidR="00AD68CA" w:rsidRPr="00313D8E" w14:paraId="3F841AB4" w14:textId="77777777" w:rsidTr="00AD68CA">
        <w:trPr>
          <w:jc w:val="center"/>
        </w:trPr>
        <w:tc>
          <w:tcPr>
            <w:tcW w:w="0" w:type="auto"/>
          </w:tcPr>
          <w:p w14:paraId="4B7E18A4"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b/>
                <w:bCs/>
                <w:lang w:eastAsia="pt-BR"/>
              </w:rPr>
              <w:t>5. MONITORAMENTO DE DETERMINAÇÕES E RECOMENDAÇÕES</w:t>
            </w:r>
          </w:p>
        </w:tc>
      </w:tr>
      <w:tr w:rsidR="00AD68CA" w:rsidRPr="00313D8E" w14:paraId="2CB5C686" w14:textId="77777777" w:rsidTr="00AD68CA">
        <w:trPr>
          <w:jc w:val="center"/>
        </w:trPr>
        <w:tc>
          <w:tcPr>
            <w:tcW w:w="0" w:type="auto"/>
          </w:tcPr>
          <w:p w14:paraId="4A013E09"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b/>
                <w:bCs/>
                <w:lang w:eastAsia="pt-BR"/>
              </w:rPr>
              <w:t>6. ASSUNTOS QUE EXIGIRAM ATENÇÃO SIGNIFICATIVA NA AUDITORIA</w:t>
            </w:r>
          </w:p>
        </w:tc>
      </w:tr>
      <w:tr w:rsidR="00AD68CA" w:rsidRPr="00313D8E" w14:paraId="5D4C9A49" w14:textId="77777777" w:rsidTr="00AD68CA">
        <w:trPr>
          <w:jc w:val="center"/>
        </w:trPr>
        <w:tc>
          <w:tcPr>
            <w:tcW w:w="0" w:type="auto"/>
          </w:tcPr>
          <w:p w14:paraId="548DC1B2"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b/>
                <w:bCs/>
                <w:lang w:eastAsia="pt-BR"/>
              </w:rPr>
              <w:t>7. CONCLUSÕES</w:t>
            </w:r>
          </w:p>
        </w:tc>
      </w:tr>
      <w:tr w:rsidR="00AD68CA" w:rsidRPr="00313D8E" w14:paraId="3221499C" w14:textId="77777777" w:rsidTr="00AD68CA">
        <w:trPr>
          <w:jc w:val="center"/>
        </w:trPr>
        <w:tc>
          <w:tcPr>
            <w:tcW w:w="0" w:type="auto"/>
          </w:tcPr>
          <w:p w14:paraId="5EC7CD71"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7.1</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Segurança razoável e suporte às conclusões</w:t>
            </w:r>
          </w:p>
        </w:tc>
      </w:tr>
      <w:tr w:rsidR="00AD68CA" w:rsidRPr="00313D8E" w14:paraId="3B0737A1" w14:textId="77777777" w:rsidTr="00AD68CA">
        <w:trPr>
          <w:jc w:val="center"/>
        </w:trPr>
        <w:tc>
          <w:tcPr>
            <w:tcW w:w="0" w:type="auto"/>
          </w:tcPr>
          <w:p w14:paraId="4211AC2E"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7.2</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Conclusão sobre as Demonstrações Contábeis</w:t>
            </w:r>
          </w:p>
        </w:tc>
      </w:tr>
      <w:tr w:rsidR="00AD68CA" w:rsidRPr="00313D8E" w14:paraId="28347CD9" w14:textId="77777777" w:rsidTr="00AD68CA">
        <w:trPr>
          <w:jc w:val="center"/>
        </w:trPr>
        <w:tc>
          <w:tcPr>
            <w:tcW w:w="0" w:type="auto"/>
          </w:tcPr>
          <w:p w14:paraId="1EEDE9F1"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7.3</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Conclusão sobre a conformidade das operações, transações ou atos de gestão subjacentes</w:t>
            </w:r>
          </w:p>
        </w:tc>
      </w:tr>
      <w:tr w:rsidR="00010E69" w:rsidRPr="00313D8E" w14:paraId="0769076D" w14:textId="77777777" w:rsidTr="00AD68CA">
        <w:trPr>
          <w:jc w:val="center"/>
        </w:trPr>
        <w:tc>
          <w:tcPr>
            <w:tcW w:w="0" w:type="auto"/>
          </w:tcPr>
          <w:p w14:paraId="00A65073" w14:textId="77777777" w:rsidR="00010E69" w:rsidRPr="00313D8E" w:rsidRDefault="00010E69"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7.4</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Impacto dos achados nas contas da unidade jurisdicionada</w:t>
            </w:r>
          </w:p>
        </w:tc>
      </w:tr>
      <w:tr w:rsidR="00010E69" w:rsidRPr="00313D8E" w14:paraId="5632157E" w14:textId="77777777" w:rsidTr="00AD68CA">
        <w:trPr>
          <w:jc w:val="center"/>
        </w:trPr>
        <w:tc>
          <w:tcPr>
            <w:tcW w:w="0" w:type="auto"/>
          </w:tcPr>
          <w:p w14:paraId="634E8430" w14:textId="77777777" w:rsidR="00010E69" w:rsidRPr="00313D8E" w:rsidRDefault="00010E69"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7.5</w:t>
            </w:r>
            <w:r w:rsidR="0060625C" w:rsidRPr="00313D8E">
              <w:rPr>
                <w:rFonts w:ascii="Times New Roman" w:eastAsia="Times New Roman" w:hAnsi="Times New Roman" w:cs="Times New Roman"/>
                <w:lang w:eastAsia="pt-BR"/>
              </w:rPr>
              <w:t>.</w:t>
            </w:r>
            <w:r w:rsidRPr="00313D8E">
              <w:rPr>
                <w:rFonts w:ascii="Times New Roman" w:eastAsia="Times New Roman" w:hAnsi="Times New Roman" w:cs="Times New Roman"/>
                <w:lang w:eastAsia="pt-BR"/>
              </w:rPr>
              <w:t xml:space="preserve"> Informações sobre apuração de eventuais responsabilidades</w:t>
            </w:r>
          </w:p>
        </w:tc>
      </w:tr>
      <w:tr w:rsidR="00AD68CA" w:rsidRPr="00313D8E" w14:paraId="7E129B43" w14:textId="77777777" w:rsidTr="00AD68CA">
        <w:trPr>
          <w:jc w:val="center"/>
        </w:trPr>
        <w:tc>
          <w:tcPr>
            <w:tcW w:w="0" w:type="auto"/>
          </w:tcPr>
          <w:p w14:paraId="5A6F6215" w14:textId="77777777" w:rsidR="00AD68CA" w:rsidRPr="00313D8E" w:rsidRDefault="00010E69"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7.6</w:t>
            </w:r>
            <w:r w:rsidR="0060625C" w:rsidRPr="00313D8E">
              <w:rPr>
                <w:rFonts w:ascii="Times New Roman" w:eastAsia="Times New Roman" w:hAnsi="Times New Roman" w:cs="Times New Roman"/>
                <w:lang w:eastAsia="pt-BR"/>
              </w:rPr>
              <w:t>.</w:t>
            </w:r>
            <w:r w:rsidR="00AD68CA" w:rsidRPr="00313D8E">
              <w:rPr>
                <w:rFonts w:ascii="Times New Roman" w:eastAsia="Times New Roman" w:hAnsi="Times New Roman" w:cs="Times New Roman"/>
                <w:lang w:eastAsia="pt-BR"/>
              </w:rPr>
              <w:t xml:space="preserve"> Benefícios estimados ou esperados e volume de recursos auditados</w:t>
            </w:r>
          </w:p>
        </w:tc>
      </w:tr>
      <w:tr w:rsidR="00AD68CA" w:rsidRPr="00313D8E" w14:paraId="3CDE919E" w14:textId="77777777" w:rsidTr="00AD68CA">
        <w:trPr>
          <w:jc w:val="center"/>
        </w:trPr>
        <w:tc>
          <w:tcPr>
            <w:tcW w:w="0" w:type="auto"/>
          </w:tcPr>
          <w:p w14:paraId="2ADB5F2A"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b/>
                <w:bCs/>
                <w:lang w:eastAsia="pt-BR"/>
              </w:rPr>
              <w:t>8. PROPOSTAS DE ENCAMINHAMENTO</w:t>
            </w:r>
          </w:p>
        </w:tc>
      </w:tr>
      <w:tr w:rsidR="00AD68CA" w:rsidRPr="00313D8E" w14:paraId="2FE3E64E" w14:textId="77777777" w:rsidTr="00AD68CA">
        <w:trPr>
          <w:jc w:val="center"/>
        </w:trPr>
        <w:tc>
          <w:tcPr>
            <w:tcW w:w="0" w:type="auto"/>
          </w:tcPr>
          <w:p w14:paraId="41853F8D" w14:textId="77777777" w:rsidR="00AD68CA" w:rsidRPr="00313D8E" w:rsidRDefault="00AD68CA" w:rsidP="007228C7">
            <w:pPr>
              <w:ind w:firstLine="0"/>
              <w:rPr>
                <w:rFonts w:ascii="Times New Roman" w:eastAsia="Times New Roman" w:hAnsi="Times New Roman" w:cs="Times New Roman"/>
                <w:b/>
                <w:bCs/>
                <w:lang w:eastAsia="pt-BR"/>
              </w:rPr>
            </w:pPr>
            <w:r w:rsidRPr="00313D8E">
              <w:rPr>
                <w:rFonts w:ascii="Times New Roman" w:eastAsia="Times New Roman" w:hAnsi="Times New Roman" w:cs="Times New Roman"/>
                <w:b/>
                <w:lang w:eastAsia="pt-BR"/>
              </w:rPr>
              <w:t>APÊNDICE A - DETALHAMENTO DA METODOLOGIA EMPREGADA</w:t>
            </w:r>
          </w:p>
        </w:tc>
      </w:tr>
      <w:tr w:rsidR="00AD68CA" w:rsidRPr="00313D8E" w14:paraId="0AE1376A" w14:textId="77777777" w:rsidTr="00AD68CA">
        <w:trPr>
          <w:jc w:val="center"/>
        </w:trPr>
        <w:tc>
          <w:tcPr>
            <w:tcW w:w="0" w:type="auto"/>
          </w:tcPr>
          <w:p w14:paraId="55070F42" w14:textId="77777777" w:rsidR="00AD68CA" w:rsidRPr="00313D8E" w:rsidRDefault="00AD68CA" w:rsidP="007228C7">
            <w:pPr>
              <w:ind w:firstLine="0"/>
              <w:rPr>
                <w:rFonts w:ascii="Times New Roman" w:eastAsia="Times New Roman" w:hAnsi="Times New Roman" w:cs="Times New Roman"/>
                <w:b/>
                <w:bCs/>
                <w:lang w:eastAsia="pt-BR"/>
              </w:rPr>
            </w:pPr>
            <w:r w:rsidRPr="00313D8E">
              <w:rPr>
                <w:rFonts w:ascii="Times New Roman" w:eastAsia="Times New Roman" w:hAnsi="Times New Roman" w:cs="Times New Roman"/>
                <w:lang w:eastAsia="pt-BR"/>
              </w:rPr>
              <w:t>I - DETERMINAÇÃO DA MATERIALIDADE PARA O TRABALHO</w:t>
            </w:r>
          </w:p>
        </w:tc>
      </w:tr>
      <w:tr w:rsidR="00AD68CA" w:rsidRPr="00313D8E" w14:paraId="0AD1945A" w14:textId="77777777" w:rsidTr="00AD68CA">
        <w:trPr>
          <w:jc w:val="center"/>
        </w:trPr>
        <w:tc>
          <w:tcPr>
            <w:tcW w:w="0" w:type="auto"/>
          </w:tcPr>
          <w:p w14:paraId="7D178837" w14:textId="77777777" w:rsidR="00AD68CA" w:rsidRPr="00313D8E" w:rsidRDefault="00AD68CA" w:rsidP="007228C7">
            <w:pPr>
              <w:ind w:firstLine="0"/>
              <w:rPr>
                <w:rFonts w:ascii="Times New Roman" w:eastAsia="Times New Roman" w:hAnsi="Times New Roman" w:cs="Times New Roman"/>
                <w:b/>
                <w:bCs/>
                <w:lang w:eastAsia="pt-BR"/>
              </w:rPr>
            </w:pPr>
            <w:r w:rsidRPr="00313D8E">
              <w:rPr>
                <w:rFonts w:ascii="Times New Roman" w:eastAsia="Times New Roman" w:hAnsi="Times New Roman" w:cs="Times New Roman"/>
                <w:lang w:eastAsia="pt-BR"/>
              </w:rPr>
              <w:t>a) Materialidade quantitativa</w:t>
            </w:r>
          </w:p>
        </w:tc>
      </w:tr>
      <w:tr w:rsidR="00AD68CA" w:rsidRPr="00313D8E" w14:paraId="7EBE28AA" w14:textId="77777777" w:rsidTr="00AD68CA">
        <w:trPr>
          <w:jc w:val="center"/>
        </w:trPr>
        <w:tc>
          <w:tcPr>
            <w:tcW w:w="0" w:type="auto"/>
          </w:tcPr>
          <w:p w14:paraId="2535099A"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b) Materialidade qualitativa</w:t>
            </w:r>
          </w:p>
        </w:tc>
      </w:tr>
      <w:tr w:rsidR="00AD68CA" w:rsidRPr="00313D8E" w14:paraId="6E7DFA86" w14:textId="77777777" w:rsidTr="00AD68CA">
        <w:trPr>
          <w:jc w:val="center"/>
        </w:trPr>
        <w:tc>
          <w:tcPr>
            <w:tcW w:w="0" w:type="auto"/>
          </w:tcPr>
          <w:p w14:paraId="602B0C26"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c) Revisão dos níveis de materialidade</w:t>
            </w:r>
          </w:p>
        </w:tc>
      </w:tr>
      <w:tr w:rsidR="00AD68CA" w:rsidRPr="00313D8E" w14:paraId="251F7B06" w14:textId="77777777" w:rsidTr="00AD68CA">
        <w:trPr>
          <w:jc w:val="center"/>
        </w:trPr>
        <w:tc>
          <w:tcPr>
            <w:tcW w:w="0" w:type="auto"/>
          </w:tcPr>
          <w:p w14:paraId="7200D605"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II - CRITÉRIOS PARA SELEÇÃO DAS CONTAS SIGNIFICATIVAS</w:t>
            </w:r>
          </w:p>
        </w:tc>
      </w:tr>
      <w:tr w:rsidR="00AD68CA" w:rsidRPr="00313D8E" w14:paraId="1F55840C" w14:textId="77777777" w:rsidTr="00AD68CA">
        <w:trPr>
          <w:jc w:val="center"/>
        </w:trPr>
        <w:tc>
          <w:tcPr>
            <w:tcW w:w="0" w:type="auto"/>
          </w:tcPr>
          <w:p w14:paraId="43BF5CBC"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III - ABORDAGEM DA AUDITORIA</w:t>
            </w:r>
          </w:p>
        </w:tc>
      </w:tr>
      <w:tr w:rsidR="00AD68CA" w:rsidRPr="00313D8E" w14:paraId="5008DD39" w14:textId="77777777" w:rsidTr="00AD68CA">
        <w:trPr>
          <w:jc w:val="center"/>
        </w:trPr>
        <w:tc>
          <w:tcPr>
            <w:tcW w:w="0" w:type="auto"/>
          </w:tcPr>
          <w:p w14:paraId="2EB77B7B"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IV - AVALIAÇÃO E RESPOSTA AOS RISCOS DE DISTORÇÕES RELEVANTES</w:t>
            </w:r>
          </w:p>
        </w:tc>
      </w:tr>
      <w:tr w:rsidR="00AD68CA" w:rsidRPr="00313D8E" w14:paraId="640BA376" w14:textId="77777777" w:rsidTr="00AD68CA">
        <w:trPr>
          <w:jc w:val="center"/>
        </w:trPr>
        <w:tc>
          <w:tcPr>
            <w:tcW w:w="0" w:type="auto"/>
          </w:tcPr>
          <w:p w14:paraId="7F1BAEBE"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V - FORMAÇÃO DAS OPINIÕES E COMUNICAÇÕES À ADMINISTRAÇÃO</w:t>
            </w:r>
          </w:p>
        </w:tc>
      </w:tr>
      <w:tr w:rsidR="00AD68CA" w:rsidRPr="00313D8E" w14:paraId="407BC252" w14:textId="77777777" w:rsidTr="00AD68CA">
        <w:trPr>
          <w:jc w:val="center"/>
        </w:trPr>
        <w:tc>
          <w:tcPr>
            <w:tcW w:w="0" w:type="auto"/>
          </w:tcPr>
          <w:p w14:paraId="2D8ACA33"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VI - MÉTODO DE AMOSTRAGEM UTILIZADO NA AUDITORIA</w:t>
            </w:r>
          </w:p>
        </w:tc>
      </w:tr>
      <w:tr w:rsidR="00AD68CA" w:rsidRPr="00313D8E" w14:paraId="6B933E85" w14:textId="77777777" w:rsidTr="00AD68CA">
        <w:trPr>
          <w:jc w:val="center"/>
        </w:trPr>
        <w:tc>
          <w:tcPr>
            <w:tcW w:w="0" w:type="auto"/>
          </w:tcPr>
          <w:p w14:paraId="66DA9BAE" w14:textId="42D15D13"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a) Parâmetros dos testes substantivos (testes de detalhes) e testes de controle aplicados no ciclo de pessoal</w:t>
            </w:r>
          </w:p>
        </w:tc>
      </w:tr>
      <w:tr w:rsidR="00AD68CA" w:rsidRPr="00313D8E" w14:paraId="458AF28C" w14:textId="77777777" w:rsidTr="00AD68CA">
        <w:trPr>
          <w:jc w:val="center"/>
        </w:trPr>
        <w:tc>
          <w:tcPr>
            <w:tcW w:w="0" w:type="auto"/>
          </w:tcPr>
          <w:p w14:paraId="0AD26C21"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b) Transações subjacentes relacionadas ao ciclo do pessoal</w:t>
            </w:r>
          </w:p>
        </w:tc>
      </w:tr>
      <w:tr w:rsidR="00AD68CA" w:rsidRPr="00313D8E" w14:paraId="39D3BD61" w14:textId="77777777" w:rsidTr="00AD68CA">
        <w:trPr>
          <w:jc w:val="center"/>
        </w:trPr>
        <w:tc>
          <w:tcPr>
            <w:tcW w:w="0" w:type="auto"/>
          </w:tcPr>
          <w:p w14:paraId="7E87C66A"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c) Parâmetros dos testes substantivos (testes de detalhes) e testes de controle aplicados no ciclo do patrimônio</w:t>
            </w:r>
          </w:p>
        </w:tc>
      </w:tr>
      <w:tr w:rsidR="0050592B" w:rsidRPr="00313D8E" w14:paraId="465545D2" w14:textId="77777777" w:rsidTr="00AD68CA">
        <w:trPr>
          <w:jc w:val="center"/>
        </w:trPr>
        <w:tc>
          <w:tcPr>
            <w:tcW w:w="0" w:type="auto"/>
          </w:tcPr>
          <w:p w14:paraId="251233AD" w14:textId="36B4763E" w:rsidR="0050592B" w:rsidRPr="00313D8E" w:rsidRDefault="0050592B" w:rsidP="007228C7">
            <w:pPr>
              <w:ind w:firstLine="0"/>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d) </w:t>
            </w:r>
            <w:r w:rsidRPr="00313D8E">
              <w:rPr>
                <w:rFonts w:ascii="Times New Roman" w:eastAsia="Times New Roman" w:hAnsi="Times New Roman" w:cs="Times New Roman"/>
                <w:lang w:eastAsia="pt-BR"/>
              </w:rPr>
              <w:t>Transações subjacentes relacionadas ao ciclo do p</w:t>
            </w:r>
            <w:r>
              <w:rPr>
                <w:rFonts w:ascii="Times New Roman" w:eastAsia="Times New Roman" w:hAnsi="Times New Roman" w:cs="Times New Roman"/>
                <w:lang w:eastAsia="pt-BR"/>
              </w:rPr>
              <w:t>atrimônio</w:t>
            </w:r>
          </w:p>
        </w:tc>
      </w:tr>
      <w:tr w:rsidR="00AD68CA" w:rsidRPr="00313D8E" w14:paraId="410FF1DA" w14:textId="77777777" w:rsidTr="00AD68CA">
        <w:trPr>
          <w:jc w:val="center"/>
        </w:trPr>
        <w:tc>
          <w:tcPr>
            <w:tcW w:w="0" w:type="auto"/>
          </w:tcPr>
          <w:p w14:paraId="0B15093C" w14:textId="4648BA3F" w:rsidR="00AD68CA" w:rsidRPr="00313D8E" w:rsidRDefault="00983EC4" w:rsidP="007228C7">
            <w:pPr>
              <w:ind w:firstLine="0"/>
              <w:rPr>
                <w:rFonts w:ascii="Times New Roman" w:eastAsia="Times New Roman" w:hAnsi="Times New Roman" w:cs="Times New Roman"/>
                <w:lang w:eastAsia="pt-BR"/>
              </w:rPr>
            </w:pPr>
            <w:r>
              <w:rPr>
                <w:rFonts w:ascii="Times New Roman" w:eastAsia="Times New Roman" w:hAnsi="Times New Roman" w:cs="Times New Roman"/>
                <w:lang w:eastAsia="pt-BR"/>
              </w:rPr>
              <w:t>e</w:t>
            </w:r>
            <w:r w:rsidR="00AD68CA" w:rsidRPr="00313D8E">
              <w:rPr>
                <w:rFonts w:ascii="Times New Roman" w:eastAsia="Times New Roman" w:hAnsi="Times New Roman" w:cs="Times New Roman"/>
                <w:lang w:eastAsia="pt-BR"/>
              </w:rPr>
              <w:t>) Parâmetros dos testes substantivos (testes de detalhes) e testes de controle aplicados no ciclo das contratações</w:t>
            </w:r>
          </w:p>
        </w:tc>
      </w:tr>
      <w:tr w:rsidR="00AD68CA" w:rsidRPr="00313D8E" w14:paraId="662E3049" w14:textId="77777777" w:rsidTr="00AD68CA">
        <w:trPr>
          <w:jc w:val="center"/>
        </w:trPr>
        <w:tc>
          <w:tcPr>
            <w:tcW w:w="0" w:type="auto"/>
          </w:tcPr>
          <w:p w14:paraId="1BBE14BC" w14:textId="6A94FB9D" w:rsidR="00AD68CA" w:rsidRPr="00313D8E" w:rsidRDefault="00983EC4" w:rsidP="007228C7">
            <w:pPr>
              <w:ind w:firstLine="0"/>
              <w:rPr>
                <w:rFonts w:ascii="Times New Roman" w:eastAsia="Times New Roman" w:hAnsi="Times New Roman" w:cs="Times New Roman"/>
                <w:lang w:eastAsia="pt-BR"/>
              </w:rPr>
            </w:pPr>
            <w:r>
              <w:rPr>
                <w:rFonts w:ascii="Times New Roman" w:eastAsia="Times New Roman" w:hAnsi="Times New Roman" w:cs="Times New Roman"/>
                <w:lang w:eastAsia="pt-BR"/>
              </w:rPr>
              <w:t>f</w:t>
            </w:r>
            <w:r w:rsidR="00AD68CA" w:rsidRPr="00313D8E">
              <w:rPr>
                <w:rFonts w:ascii="Times New Roman" w:eastAsia="Times New Roman" w:hAnsi="Times New Roman" w:cs="Times New Roman"/>
                <w:lang w:eastAsia="pt-BR"/>
              </w:rPr>
              <w:t>) Transações subjacentes relacionadas ao ciclo das contratações</w:t>
            </w:r>
          </w:p>
        </w:tc>
      </w:tr>
      <w:tr w:rsidR="00AD68CA" w:rsidRPr="00313D8E" w14:paraId="1F20E514" w14:textId="77777777" w:rsidTr="00AD68CA">
        <w:trPr>
          <w:jc w:val="center"/>
        </w:trPr>
        <w:tc>
          <w:tcPr>
            <w:tcW w:w="0" w:type="auto"/>
          </w:tcPr>
          <w:p w14:paraId="14FF3F02" w14:textId="55090FB1" w:rsidR="00AD68CA" w:rsidRPr="00313D8E" w:rsidRDefault="00983EC4" w:rsidP="007228C7">
            <w:pPr>
              <w:ind w:firstLine="0"/>
              <w:rPr>
                <w:rFonts w:ascii="Times New Roman" w:eastAsia="Times New Roman" w:hAnsi="Times New Roman" w:cs="Times New Roman"/>
                <w:lang w:eastAsia="pt-BR"/>
              </w:rPr>
            </w:pPr>
            <w:r>
              <w:rPr>
                <w:rFonts w:ascii="Times New Roman" w:eastAsia="Times New Roman" w:hAnsi="Times New Roman" w:cs="Times New Roman"/>
                <w:lang w:eastAsia="pt-BR"/>
              </w:rPr>
              <w:t>g</w:t>
            </w:r>
            <w:r w:rsidR="00AD68CA" w:rsidRPr="00313D8E">
              <w:rPr>
                <w:rFonts w:ascii="Times New Roman" w:eastAsia="Times New Roman" w:hAnsi="Times New Roman" w:cs="Times New Roman"/>
                <w:lang w:eastAsia="pt-BR"/>
              </w:rPr>
              <w:t>) Parâmetros dos testes substantivos (testes de detalhes) e testes de controle aplicados no ciclo dos precatórios e RPVs</w:t>
            </w:r>
          </w:p>
        </w:tc>
      </w:tr>
      <w:tr w:rsidR="00AD68CA" w:rsidRPr="00313D8E" w14:paraId="5B10ABF8" w14:textId="77777777" w:rsidTr="00AD68CA">
        <w:trPr>
          <w:jc w:val="center"/>
        </w:trPr>
        <w:tc>
          <w:tcPr>
            <w:tcW w:w="0" w:type="auto"/>
          </w:tcPr>
          <w:p w14:paraId="4C00F054" w14:textId="77777777" w:rsidR="00AD68CA" w:rsidRPr="00313D8E" w:rsidRDefault="00AD68CA" w:rsidP="007228C7">
            <w:pPr>
              <w:ind w:firstLine="0"/>
              <w:rPr>
                <w:rFonts w:ascii="Times New Roman" w:eastAsia="Times New Roman" w:hAnsi="Times New Roman" w:cs="Times New Roman"/>
                <w:b/>
                <w:lang w:eastAsia="pt-BR"/>
              </w:rPr>
            </w:pPr>
            <w:r w:rsidRPr="00313D8E">
              <w:rPr>
                <w:rFonts w:ascii="Times New Roman" w:eastAsia="Times New Roman" w:hAnsi="Times New Roman" w:cs="Times New Roman"/>
                <w:b/>
                <w:lang w:eastAsia="pt-BR"/>
              </w:rPr>
              <w:t>APÊNDICE B - COMENTÁRIOS DE GESTORES E ANÁLISE DA EQUIPE</w:t>
            </w:r>
          </w:p>
        </w:tc>
      </w:tr>
      <w:tr w:rsidR="00AD68CA" w:rsidRPr="00313D8E" w14:paraId="4BCCC060" w14:textId="77777777" w:rsidTr="00AD68CA">
        <w:trPr>
          <w:jc w:val="center"/>
        </w:trPr>
        <w:tc>
          <w:tcPr>
            <w:tcW w:w="0" w:type="auto"/>
          </w:tcPr>
          <w:p w14:paraId="29A220B0"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LISTA DE SIGLAS E ABREVIATURAS</w:t>
            </w:r>
          </w:p>
        </w:tc>
      </w:tr>
      <w:tr w:rsidR="00AD68CA" w:rsidRPr="00313D8E" w14:paraId="6DAE3C2F" w14:textId="77777777" w:rsidTr="00AD68CA">
        <w:trPr>
          <w:jc w:val="center"/>
        </w:trPr>
        <w:tc>
          <w:tcPr>
            <w:tcW w:w="0" w:type="auto"/>
          </w:tcPr>
          <w:p w14:paraId="08FD04CF"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LISTA DE TABELAS</w:t>
            </w:r>
          </w:p>
        </w:tc>
      </w:tr>
      <w:tr w:rsidR="00AD68CA" w:rsidRPr="00313D8E" w14:paraId="6B93F925" w14:textId="77777777" w:rsidTr="00AD68CA">
        <w:trPr>
          <w:jc w:val="center"/>
        </w:trPr>
        <w:tc>
          <w:tcPr>
            <w:tcW w:w="0" w:type="auto"/>
          </w:tcPr>
          <w:p w14:paraId="5047BFC0" w14:textId="77777777" w:rsidR="00AD68CA" w:rsidRPr="00313D8E" w:rsidRDefault="00AD68CA" w:rsidP="007228C7">
            <w:pPr>
              <w:ind w:firstLine="0"/>
              <w:rPr>
                <w:rFonts w:ascii="Times New Roman" w:eastAsia="Times New Roman" w:hAnsi="Times New Roman" w:cs="Times New Roman"/>
                <w:lang w:eastAsia="pt-BR"/>
              </w:rPr>
            </w:pPr>
            <w:r w:rsidRPr="00313D8E">
              <w:rPr>
                <w:rFonts w:ascii="Times New Roman" w:eastAsia="Times New Roman" w:hAnsi="Times New Roman" w:cs="Times New Roman"/>
                <w:lang w:eastAsia="pt-BR"/>
              </w:rPr>
              <w:t>LISTA DE QUADROS</w:t>
            </w:r>
          </w:p>
        </w:tc>
      </w:tr>
    </w:tbl>
    <w:p w14:paraId="26C9FCD3" w14:textId="77777777" w:rsidR="00B02DE4" w:rsidRDefault="00B02DE4" w:rsidP="007228C7">
      <w:pPr>
        <w:ind w:right="120" w:firstLine="0"/>
        <w:jc w:val="both"/>
        <w:rPr>
          <w:rFonts w:ascii="Times New Roman" w:eastAsia="Times New Roman" w:hAnsi="Times New Roman" w:cs="Times New Roman"/>
          <w:sz w:val="24"/>
          <w:szCs w:val="24"/>
          <w:lang w:eastAsia="pt-BR"/>
        </w:rPr>
      </w:pPr>
    </w:p>
    <w:p w14:paraId="79003905" w14:textId="77777777" w:rsidR="00983EC4" w:rsidRDefault="00983EC4" w:rsidP="007228C7">
      <w:pPr>
        <w:ind w:right="120" w:firstLine="0"/>
        <w:jc w:val="both"/>
        <w:rPr>
          <w:rFonts w:ascii="Times New Roman" w:eastAsia="Times New Roman" w:hAnsi="Times New Roman" w:cs="Times New Roman"/>
          <w:sz w:val="24"/>
          <w:szCs w:val="24"/>
          <w:lang w:eastAsia="pt-BR"/>
        </w:rPr>
      </w:pPr>
    </w:p>
    <w:p w14:paraId="28D174F7" w14:textId="77777777" w:rsidR="00983EC4" w:rsidRDefault="00983EC4" w:rsidP="007228C7">
      <w:pPr>
        <w:ind w:right="120" w:firstLine="0"/>
        <w:jc w:val="both"/>
        <w:rPr>
          <w:rFonts w:ascii="Times New Roman" w:eastAsia="Times New Roman" w:hAnsi="Times New Roman" w:cs="Times New Roman"/>
          <w:sz w:val="24"/>
          <w:szCs w:val="24"/>
          <w:lang w:eastAsia="pt-BR"/>
        </w:rPr>
      </w:pPr>
    </w:p>
    <w:p w14:paraId="2DF4F236" w14:textId="77777777" w:rsidR="001171C6" w:rsidRDefault="00A61C3A" w:rsidP="004B1E97">
      <w:pPr>
        <w:spacing w:before="240"/>
        <w:ind w:right="120" w:firstLine="0"/>
        <w:jc w:val="both"/>
        <w:rPr>
          <w:rFonts w:ascii="Times New Roman" w:eastAsia="Times New Roman" w:hAnsi="Times New Roman" w:cs="Times New Roman"/>
          <w:sz w:val="24"/>
          <w:szCs w:val="24"/>
          <w:lang w:eastAsia="pt-BR"/>
        </w:rPr>
      </w:pPr>
      <w:r w:rsidRPr="00B02DE4">
        <w:rPr>
          <w:rFonts w:ascii="Times New Roman" w:eastAsia="Times New Roman" w:hAnsi="Times New Roman" w:cs="Times New Roman"/>
          <w:b/>
          <w:bCs/>
          <w:color w:val="000000"/>
          <w:sz w:val="24"/>
          <w:szCs w:val="24"/>
          <w:lang w:eastAsia="pt-BR"/>
        </w:rPr>
        <w:lastRenderedPageBreak/>
        <w:t>1. APRESENTAÇÃO</w:t>
      </w:r>
      <w:bookmarkEnd w:id="0"/>
    </w:p>
    <w:p w14:paraId="28FCC701" w14:textId="77777777" w:rsidR="00A61C3A" w:rsidRPr="00B02DE4" w:rsidRDefault="5551D1CE" w:rsidP="007801DD">
      <w:pPr>
        <w:spacing w:before="240"/>
        <w:ind w:right="119" w:firstLine="708"/>
        <w:jc w:val="both"/>
        <w:rPr>
          <w:rFonts w:ascii="Times New Roman" w:eastAsia="Times New Roman" w:hAnsi="Times New Roman" w:cs="Times New Roman"/>
          <w:sz w:val="24"/>
          <w:szCs w:val="24"/>
          <w:lang w:eastAsia="pt-BR"/>
        </w:rPr>
      </w:pPr>
      <w:r w:rsidRPr="7CD3D9F9">
        <w:rPr>
          <w:rFonts w:ascii="Times New Roman" w:eastAsia="Times New Roman" w:hAnsi="Times New Roman" w:cs="Times New Roman"/>
          <w:color w:val="000000" w:themeColor="text1"/>
          <w:sz w:val="24"/>
          <w:szCs w:val="24"/>
          <w:lang w:eastAsia="pt-BR"/>
        </w:rPr>
        <w:t xml:space="preserve">A </w:t>
      </w:r>
      <w:hyperlink r:id="rId11" w:tgtFrame="_blank" w:history="1">
        <w:r w:rsidRPr="7CD3D9F9">
          <w:rPr>
            <w:rFonts w:ascii="Times New Roman" w:eastAsia="Times New Roman" w:hAnsi="Times New Roman" w:cs="Times New Roman"/>
            <w:color w:val="0000FF"/>
            <w:sz w:val="24"/>
            <w:szCs w:val="24"/>
            <w:u w:val="single"/>
            <w:lang w:eastAsia="pt-BR"/>
          </w:rPr>
          <w:t>Constituição Federal</w:t>
        </w:r>
      </w:hyperlink>
      <w:r w:rsidRPr="7CD3D9F9">
        <w:rPr>
          <w:rFonts w:ascii="Times New Roman" w:eastAsia="Times New Roman" w:hAnsi="Times New Roman" w:cs="Times New Roman"/>
          <w:color w:val="000000" w:themeColor="text1"/>
          <w:sz w:val="24"/>
          <w:szCs w:val="24"/>
          <w:lang w:eastAsia="pt-BR"/>
        </w:rPr>
        <w:t xml:space="preserve"> de 1988, </w:t>
      </w:r>
      <w:r w:rsidR="3F707DDF" w:rsidRPr="7CD3D9F9">
        <w:rPr>
          <w:rFonts w:ascii="Times New Roman" w:eastAsia="Times New Roman" w:hAnsi="Times New Roman" w:cs="Times New Roman"/>
          <w:color w:val="000000" w:themeColor="text1"/>
          <w:sz w:val="24"/>
          <w:szCs w:val="24"/>
          <w:lang w:eastAsia="pt-BR"/>
        </w:rPr>
        <w:t xml:space="preserve">em seu </w:t>
      </w:r>
      <w:r w:rsidRPr="7CD3D9F9">
        <w:rPr>
          <w:rFonts w:ascii="Times New Roman" w:eastAsia="Times New Roman" w:hAnsi="Times New Roman" w:cs="Times New Roman"/>
          <w:color w:val="000000" w:themeColor="text1"/>
          <w:sz w:val="24"/>
          <w:szCs w:val="24"/>
          <w:lang w:eastAsia="pt-BR"/>
        </w:rPr>
        <w:t xml:space="preserve">art. 70, estabelece que a fiscalização contábil, financeira, orçamentária, operacional e patrimonial da União e das entidades da administração direta e indireta, quanto à legalidade, legitimidade, economicidade, aplicação das subvenções e renúncia de receitas, será exercida pelo Congresso Nacional, mediante controle externo, e pelo sistema de controle interno de cada Poder. Adicionalmente, o artigo 74, inciso IV, da Constituição Federal atribui outras competências ao sistema de controle interno, entre as quais a de apoiar o controle externo no exercício de sua missão institucional. Em complemento, a </w:t>
      </w:r>
      <w:hyperlink r:id="rId12">
        <w:r w:rsidRPr="7CD3D9F9">
          <w:rPr>
            <w:rFonts w:ascii="Times New Roman" w:eastAsia="Times New Roman" w:hAnsi="Times New Roman" w:cs="Times New Roman"/>
            <w:color w:val="0000FF"/>
            <w:sz w:val="24"/>
            <w:szCs w:val="24"/>
            <w:u w:val="single"/>
            <w:lang w:eastAsia="pt-BR"/>
          </w:rPr>
          <w:t>Instrução Normativa TCU 84, de 22 de abril de 2020</w:t>
        </w:r>
      </w:hyperlink>
      <w:r w:rsidRPr="7CD3D9F9">
        <w:rPr>
          <w:rFonts w:ascii="Times New Roman" w:eastAsia="Times New Roman" w:hAnsi="Times New Roman" w:cs="Times New Roman"/>
          <w:color w:val="000000" w:themeColor="text1"/>
          <w:sz w:val="24"/>
          <w:szCs w:val="24"/>
          <w:lang w:eastAsia="pt-BR"/>
        </w:rPr>
        <w:t xml:space="preserve"> estabelece normas para a tomada e prestação de contas dos administradores e responsáveis da administração pública federal,</w:t>
      </w:r>
      <w:r w:rsidR="1AD3B80E" w:rsidRPr="7CD3D9F9">
        <w:rPr>
          <w:rFonts w:ascii="Times New Roman" w:eastAsia="Times New Roman" w:hAnsi="Times New Roman" w:cs="Times New Roman"/>
          <w:color w:val="000000" w:themeColor="text1"/>
          <w:sz w:val="24"/>
          <w:szCs w:val="24"/>
          <w:lang w:eastAsia="pt-BR"/>
        </w:rPr>
        <w:t xml:space="preserve"> bem como prevê</w:t>
      </w:r>
      <w:r w:rsidR="391D4BAD" w:rsidRPr="7CD3D9F9">
        <w:rPr>
          <w:rFonts w:ascii="Times New Roman" w:eastAsia="Times New Roman" w:hAnsi="Times New Roman" w:cs="Times New Roman"/>
          <w:color w:val="000000" w:themeColor="text1"/>
          <w:sz w:val="24"/>
          <w:szCs w:val="24"/>
          <w:lang w:eastAsia="pt-BR"/>
        </w:rPr>
        <w:t xml:space="preserve">, </w:t>
      </w:r>
      <w:r w:rsidR="38494BA8" w:rsidRPr="7CD3D9F9">
        <w:rPr>
          <w:rFonts w:ascii="Times New Roman" w:eastAsia="Times New Roman" w:hAnsi="Times New Roman" w:cs="Times New Roman"/>
          <w:color w:val="000000" w:themeColor="text1"/>
          <w:sz w:val="24"/>
          <w:szCs w:val="24"/>
          <w:lang w:eastAsia="pt-BR"/>
        </w:rPr>
        <w:t xml:space="preserve">no § 2º do </w:t>
      </w:r>
      <w:r w:rsidRPr="7CD3D9F9">
        <w:rPr>
          <w:rFonts w:ascii="Times New Roman" w:eastAsia="Times New Roman" w:hAnsi="Times New Roman" w:cs="Times New Roman"/>
          <w:color w:val="000000" w:themeColor="text1"/>
          <w:sz w:val="24"/>
          <w:szCs w:val="24"/>
          <w:lang w:eastAsia="pt-BR"/>
        </w:rPr>
        <w:t xml:space="preserve">artigo 13, que, ao realizar auditoria nas contas dos responsáveis sob seu controle, os órgãos integrantes do sistema de controle interno deverão emitir Relatório e Certificado de Auditoria, nos termos do inciso III do artigo 9º e do inciso II do artigo 50 da </w:t>
      </w:r>
      <w:hyperlink r:id="rId13" w:anchor=":~:text=Lei%20N%C2%BA%208.443%2C%20DE%2016%20DE%20JULHO%20DE%201992.&amp;text=Disp%C3%B5e%20sobre%20a%20Lei%20Org%C3%A2nica,Uni%C3%A3o%20e%20d%C3%A1%20outras%20provid%C3%AAncias.">
        <w:r w:rsidRPr="7CD3D9F9">
          <w:rPr>
            <w:rFonts w:ascii="Times New Roman" w:eastAsia="Times New Roman" w:hAnsi="Times New Roman" w:cs="Times New Roman"/>
            <w:color w:val="0000FF"/>
            <w:sz w:val="24"/>
            <w:szCs w:val="24"/>
            <w:u w:val="single"/>
            <w:lang w:eastAsia="pt-BR"/>
          </w:rPr>
          <w:t>Lei 8.443, de 16 de julho de 1992</w:t>
        </w:r>
      </w:hyperlink>
      <w:r w:rsidRPr="7CD3D9F9">
        <w:rPr>
          <w:rFonts w:ascii="Times New Roman" w:eastAsia="Times New Roman" w:hAnsi="Times New Roman" w:cs="Times New Roman"/>
          <w:color w:val="000000" w:themeColor="text1"/>
          <w:sz w:val="24"/>
          <w:szCs w:val="24"/>
          <w:lang w:eastAsia="pt-BR"/>
        </w:rPr>
        <w:t>.</w:t>
      </w:r>
    </w:p>
    <w:p w14:paraId="046B2C7C" w14:textId="7C111172" w:rsidR="00A61C3A" w:rsidRPr="00B02DE4" w:rsidRDefault="00A61C3A" w:rsidP="007801DD">
      <w:pPr>
        <w:spacing w:before="240"/>
        <w:ind w:right="119" w:firstLine="708"/>
        <w:jc w:val="both"/>
        <w:rPr>
          <w:rFonts w:ascii="Times New Roman" w:eastAsia="Times New Roman" w:hAnsi="Times New Roman" w:cs="Times New Roman"/>
          <w:sz w:val="24"/>
          <w:szCs w:val="24"/>
          <w:lang w:eastAsia="pt-BR"/>
        </w:rPr>
      </w:pPr>
      <w:r w:rsidRPr="00B02DE4">
        <w:rPr>
          <w:rFonts w:ascii="Times New Roman" w:eastAsia="Times New Roman" w:hAnsi="Times New Roman" w:cs="Times New Roman"/>
          <w:color w:val="000000"/>
          <w:sz w:val="24"/>
          <w:szCs w:val="24"/>
          <w:lang w:eastAsia="pt-BR"/>
        </w:rPr>
        <w:t>Em razão dessas competências, esta Secretaria de Auditoria Interna realizou auditoria financeira integrada com conformidade nas cont</w:t>
      </w:r>
      <w:r w:rsidR="00037776">
        <w:rPr>
          <w:rFonts w:ascii="Times New Roman" w:eastAsia="Times New Roman" w:hAnsi="Times New Roman" w:cs="Times New Roman"/>
          <w:color w:val="000000"/>
          <w:sz w:val="24"/>
          <w:szCs w:val="24"/>
          <w:lang w:eastAsia="pt-BR"/>
        </w:rPr>
        <w:t>as relativas ao exercício de 202</w:t>
      </w:r>
      <w:r w:rsidR="00E91431">
        <w:rPr>
          <w:rFonts w:ascii="Times New Roman" w:eastAsia="Times New Roman" w:hAnsi="Times New Roman" w:cs="Times New Roman"/>
          <w:color w:val="000000"/>
          <w:sz w:val="24"/>
          <w:szCs w:val="24"/>
          <w:lang w:eastAsia="pt-BR"/>
        </w:rPr>
        <w:t>5</w:t>
      </w:r>
      <w:r w:rsidR="003F259B">
        <w:rPr>
          <w:rFonts w:ascii="Times New Roman" w:eastAsia="Times New Roman" w:hAnsi="Times New Roman" w:cs="Times New Roman"/>
          <w:color w:val="000000"/>
          <w:sz w:val="24"/>
          <w:szCs w:val="24"/>
          <w:lang w:eastAsia="pt-BR"/>
        </w:rPr>
        <w:t xml:space="preserve"> prestadas pelos</w:t>
      </w:r>
      <w:r w:rsidRPr="00B02DE4">
        <w:rPr>
          <w:rFonts w:ascii="Times New Roman" w:eastAsia="Times New Roman" w:hAnsi="Times New Roman" w:cs="Times New Roman"/>
          <w:color w:val="000000"/>
          <w:sz w:val="24"/>
          <w:szCs w:val="24"/>
          <w:lang w:eastAsia="pt-BR"/>
        </w:rPr>
        <w:t xml:space="preserve"> responsáveis </w:t>
      </w:r>
      <w:r w:rsidR="00C838FF">
        <w:rPr>
          <w:rFonts w:ascii="Times New Roman" w:eastAsia="Times New Roman" w:hAnsi="Times New Roman" w:cs="Times New Roman"/>
          <w:color w:val="000000"/>
          <w:sz w:val="24"/>
          <w:szCs w:val="24"/>
          <w:lang w:eastAsia="pt-BR"/>
        </w:rPr>
        <w:t>pela Justiça Federal da 6ª Região.</w:t>
      </w:r>
    </w:p>
    <w:p w14:paraId="1E965097" w14:textId="77777777" w:rsidR="00A61C3A" w:rsidRPr="00B02DE4" w:rsidRDefault="00A61C3A" w:rsidP="007801DD">
      <w:pPr>
        <w:spacing w:before="240"/>
        <w:ind w:right="119" w:firstLine="708"/>
        <w:jc w:val="both"/>
        <w:rPr>
          <w:rFonts w:ascii="Times New Roman" w:eastAsia="Times New Roman" w:hAnsi="Times New Roman" w:cs="Times New Roman"/>
          <w:sz w:val="24"/>
          <w:szCs w:val="24"/>
          <w:lang w:eastAsia="pt-BR"/>
        </w:rPr>
      </w:pPr>
      <w:r w:rsidRPr="00B02DE4">
        <w:rPr>
          <w:rFonts w:ascii="Times New Roman" w:eastAsia="Times New Roman" w:hAnsi="Times New Roman" w:cs="Times New Roman"/>
          <w:color w:val="000000"/>
          <w:sz w:val="24"/>
          <w:szCs w:val="24"/>
          <w:lang w:eastAsia="pt-BR"/>
        </w:rPr>
        <w:t xml:space="preserve">Os objetivos da auditoria são obter segurança razoável para expressar conclusões sobre se as demonstrações contábeis, financeiras e orçamentárias do </w:t>
      </w:r>
      <w:r w:rsidR="000335D0">
        <w:rPr>
          <w:rFonts w:ascii="Times New Roman" w:eastAsia="Times New Roman" w:hAnsi="Times New Roman" w:cs="Times New Roman"/>
          <w:color w:val="000000"/>
          <w:sz w:val="24"/>
          <w:szCs w:val="24"/>
          <w:lang w:eastAsia="pt-BR"/>
        </w:rPr>
        <w:t>T</w:t>
      </w:r>
      <w:r w:rsidR="00715BD1">
        <w:rPr>
          <w:rFonts w:ascii="Times New Roman" w:eastAsia="Times New Roman" w:hAnsi="Times New Roman" w:cs="Times New Roman"/>
          <w:color w:val="000000"/>
          <w:sz w:val="24"/>
          <w:szCs w:val="24"/>
          <w:lang w:eastAsia="pt-BR"/>
        </w:rPr>
        <w:t>ribunal Regional Federal da 6ª Região</w:t>
      </w:r>
      <w:r w:rsidR="00531A62">
        <w:rPr>
          <w:rFonts w:ascii="Times New Roman" w:eastAsia="Times New Roman" w:hAnsi="Times New Roman" w:cs="Times New Roman"/>
          <w:color w:val="000000"/>
          <w:sz w:val="24"/>
          <w:szCs w:val="24"/>
          <w:lang w:eastAsia="pt-BR"/>
        </w:rPr>
        <w:t xml:space="preserve"> – TRF6</w:t>
      </w:r>
      <w:r w:rsidR="000335D0">
        <w:rPr>
          <w:rFonts w:ascii="Times New Roman" w:eastAsia="Times New Roman" w:hAnsi="Times New Roman" w:cs="Times New Roman"/>
          <w:color w:val="000000"/>
          <w:sz w:val="24"/>
          <w:szCs w:val="24"/>
          <w:lang w:eastAsia="pt-BR"/>
        </w:rPr>
        <w:t>, incluindo as respectivas Notas E</w:t>
      </w:r>
      <w:r w:rsidRPr="00B02DE4">
        <w:rPr>
          <w:rFonts w:ascii="Times New Roman" w:eastAsia="Times New Roman" w:hAnsi="Times New Roman" w:cs="Times New Roman"/>
          <w:color w:val="000000"/>
          <w:sz w:val="24"/>
          <w:szCs w:val="24"/>
          <w:lang w:eastAsia="pt-BR"/>
        </w:rPr>
        <w:t>xplicativas, estão livres de distorç</w:t>
      </w:r>
      <w:r w:rsidR="00E93DC7">
        <w:rPr>
          <w:rFonts w:ascii="Times New Roman" w:eastAsia="Times New Roman" w:hAnsi="Times New Roman" w:cs="Times New Roman"/>
          <w:color w:val="000000"/>
          <w:sz w:val="24"/>
          <w:szCs w:val="24"/>
          <w:lang w:eastAsia="pt-BR"/>
        </w:rPr>
        <w:t>ão</w:t>
      </w:r>
      <w:r w:rsidRPr="00B02DE4">
        <w:rPr>
          <w:rFonts w:ascii="Times New Roman" w:eastAsia="Times New Roman" w:hAnsi="Times New Roman" w:cs="Times New Roman"/>
          <w:color w:val="000000"/>
          <w:sz w:val="24"/>
          <w:szCs w:val="24"/>
          <w:lang w:eastAsia="pt-BR"/>
        </w:rPr>
        <w:t xml:space="preserve"> relevante, de acordo com as práticas contábeis adotadas no Brasil aplicadas ao setor público</w:t>
      </w:r>
      <w:r w:rsidR="008659E5">
        <w:rPr>
          <w:rFonts w:ascii="Times New Roman" w:eastAsia="Times New Roman" w:hAnsi="Times New Roman" w:cs="Times New Roman"/>
          <w:color w:val="000000"/>
          <w:sz w:val="24"/>
          <w:szCs w:val="24"/>
          <w:lang w:eastAsia="pt-BR"/>
        </w:rPr>
        <w:t>,</w:t>
      </w:r>
      <w:r w:rsidRPr="00B02DE4">
        <w:rPr>
          <w:rFonts w:ascii="Times New Roman" w:eastAsia="Times New Roman" w:hAnsi="Times New Roman" w:cs="Times New Roman"/>
          <w:color w:val="000000"/>
          <w:sz w:val="24"/>
          <w:szCs w:val="24"/>
          <w:lang w:eastAsia="pt-BR"/>
        </w:rPr>
        <w:t xml:space="preserve"> e </w:t>
      </w:r>
      <w:r w:rsidR="004B7862">
        <w:rPr>
          <w:rFonts w:ascii="Times New Roman" w:eastAsia="Times New Roman" w:hAnsi="Times New Roman" w:cs="Times New Roman"/>
          <w:color w:val="000000"/>
          <w:sz w:val="24"/>
          <w:szCs w:val="24"/>
          <w:lang w:eastAsia="pt-BR"/>
        </w:rPr>
        <w:t xml:space="preserve">sobre </w:t>
      </w:r>
      <w:r w:rsidRPr="00B02DE4">
        <w:rPr>
          <w:rFonts w:ascii="Times New Roman" w:eastAsia="Times New Roman" w:hAnsi="Times New Roman" w:cs="Times New Roman"/>
          <w:color w:val="000000"/>
          <w:sz w:val="24"/>
          <w:szCs w:val="24"/>
          <w:lang w:eastAsia="pt-BR"/>
        </w:rPr>
        <w:t xml:space="preserve">se as operações, transações </w:t>
      </w:r>
      <w:r w:rsidR="00646FD0">
        <w:rPr>
          <w:rFonts w:ascii="Times New Roman" w:eastAsia="Times New Roman" w:hAnsi="Times New Roman" w:cs="Times New Roman"/>
          <w:color w:val="000000"/>
          <w:sz w:val="24"/>
          <w:szCs w:val="24"/>
          <w:lang w:eastAsia="pt-BR"/>
        </w:rPr>
        <w:t>e</w:t>
      </w:r>
      <w:r w:rsidR="00646FD0" w:rsidRPr="00B02DE4">
        <w:rPr>
          <w:rFonts w:ascii="Times New Roman" w:eastAsia="Times New Roman" w:hAnsi="Times New Roman" w:cs="Times New Roman"/>
          <w:color w:val="000000"/>
          <w:sz w:val="24"/>
          <w:szCs w:val="24"/>
          <w:lang w:eastAsia="pt-BR"/>
        </w:rPr>
        <w:t xml:space="preserve"> </w:t>
      </w:r>
      <w:r w:rsidRPr="00B02DE4">
        <w:rPr>
          <w:rFonts w:ascii="Times New Roman" w:eastAsia="Times New Roman" w:hAnsi="Times New Roman" w:cs="Times New Roman"/>
          <w:color w:val="000000"/>
          <w:sz w:val="24"/>
          <w:szCs w:val="24"/>
          <w:lang w:eastAsia="pt-BR"/>
        </w:rPr>
        <w:t>os atos de gestão relevantes dos responsáveis estão em conformidade com as leis e regulamentos aplicáveis e com os princípios de administração pública que regem a gestão financeira responsável e a conduta de agentes públicos.</w:t>
      </w:r>
    </w:p>
    <w:p w14:paraId="079E6589" w14:textId="77777777" w:rsidR="00A61C3A" w:rsidRPr="00B02DE4" w:rsidRDefault="00A61C3A" w:rsidP="007801DD">
      <w:pPr>
        <w:spacing w:before="240"/>
        <w:ind w:right="119" w:firstLine="708"/>
        <w:jc w:val="both"/>
        <w:rPr>
          <w:rFonts w:ascii="Times New Roman" w:eastAsia="Times New Roman" w:hAnsi="Times New Roman" w:cs="Times New Roman"/>
          <w:sz w:val="24"/>
          <w:szCs w:val="24"/>
          <w:lang w:eastAsia="pt-BR"/>
        </w:rPr>
      </w:pPr>
      <w:r w:rsidRPr="00B02DE4">
        <w:rPr>
          <w:rFonts w:ascii="Times New Roman" w:eastAsia="Times New Roman" w:hAnsi="Times New Roman" w:cs="Times New Roman"/>
          <w:color w:val="000000"/>
          <w:sz w:val="24"/>
          <w:szCs w:val="24"/>
          <w:lang w:eastAsia="pt-BR"/>
        </w:rPr>
        <w:t xml:space="preserve">Os resultados do trabalho incluem o presente Relatório de Auditoria e o Certificado de Auditoria, que irão compor a prestação de contas anual a ser publicada conforme </w:t>
      </w:r>
      <w:r w:rsidR="00802900">
        <w:rPr>
          <w:rFonts w:ascii="Times New Roman" w:eastAsia="Times New Roman" w:hAnsi="Times New Roman" w:cs="Times New Roman"/>
          <w:color w:val="000000"/>
          <w:sz w:val="24"/>
          <w:szCs w:val="24"/>
          <w:lang w:eastAsia="pt-BR"/>
        </w:rPr>
        <w:t>previsto no</w:t>
      </w:r>
      <w:r w:rsidRPr="00B02DE4">
        <w:rPr>
          <w:rFonts w:ascii="Times New Roman" w:eastAsia="Times New Roman" w:hAnsi="Times New Roman" w:cs="Times New Roman"/>
          <w:color w:val="000000"/>
          <w:sz w:val="24"/>
          <w:szCs w:val="24"/>
          <w:lang w:eastAsia="pt-BR"/>
        </w:rPr>
        <w:t xml:space="preserve"> § 2º do art. 8º e o § 1º do art. 9º da </w:t>
      </w:r>
      <w:hyperlink r:id="rId14" w:tgtFrame="_blank" w:history="1">
        <w:r w:rsidRPr="00B02DE4">
          <w:rPr>
            <w:rFonts w:ascii="Times New Roman" w:eastAsia="Times New Roman" w:hAnsi="Times New Roman" w:cs="Times New Roman"/>
            <w:color w:val="0000FF"/>
            <w:sz w:val="24"/>
            <w:szCs w:val="24"/>
            <w:u w:val="single"/>
            <w:lang w:eastAsia="pt-BR"/>
          </w:rPr>
          <w:t>Instrução Normativa TCU 84, de 22 de abril de 2020</w:t>
        </w:r>
      </w:hyperlink>
      <w:r w:rsidRPr="00B02DE4">
        <w:rPr>
          <w:rFonts w:ascii="Times New Roman" w:eastAsia="Times New Roman" w:hAnsi="Times New Roman" w:cs="Times New Roman"/>
          <w:sz w:val="24"/>
          <w:szCs w:val="24"/>
          <w:lang w:eastAsia="pt-BR"/>
        </w:rPr>
        <w:t>.</w:t>
      </w:r>
    </w:p>
    <w:p w14:paraId="62A9E07B" w14:textId="77777777" w:rsidR="00A61C3A" w:rsidRPr="00B02DE4" w:rsidRDefault="00A61C3A" w:rsidP="007801DD">
      <w:pPr>
        <w:spacing w:before="240"/>
        <w:ind w:right="119" w:firstLine="708"/>
        <w:jc w:val="both"/>
        <w:rPr>
          <w:rFonts w:ascii="Times New Roman" w:eastAsia="Times New Roman" w:hAnsi="Times New Roman" w:cs="Times New Roman"/>
          <w:sz w:val="24"/>
          <w:szCs w:val="24"/>
          <w:lang w:eastAsia="pt-BR"/>
        </w:rPr>
      </w:pPr>
      <w:r w:rsidRPr="00B02DE4">
        <w:rPr>
          <w:rFonts w:ascii="Times New Roman" w:eastAsia="Times New Roman" w:hAnsi="Times New Roman" w:cs="Times New Roman"/>
          <w:color w:val="000000"/>
          <w:sz w:val="24"/>
          <w:szCs w:val="24"/>
          <w:lang w:eastAsia="pt-BR"/>
        </w:rPr>
        <w:t xml:space="preserve">Este relatório está estruturado da seguinte maneira: a seção 2 contextualiza o trabalho e apresenta os elementos que ajudam na compreensão do relatório; a seção 3 apresenta os achados de auditoria; a seção 4 relata as deficiências significativas de controle interno; a seção 5 descreve o processo de monitoramento de determinações e recomendações; a seção 6 relata os assuntos que exigiram atenção significativa na auditoria; a seção 7 expressa as conclusões da auditoria; e a seção 8 sintetiza as propostas de encaminhamento da equipe, considerando a perspectiva dos dirigentes e as ações corretivas que pretendem tomar, obtidas mediante comentários de gestores e </w:t>
      </w:r>
      <w:r w:rsidR="00DD618C">
        <w:rPr>
          <w:rFonts w:ascii="Times New Roman" w:eastAsia="Times New Roman" w:hAnsi="Times New Roman" w:cs="Times New Roman"/>
          <w:color w:val="000000"/>
          <w:sz w:val="24"/>
          <w:szCs w:val="24"/>
          <w:lang w:eastAsia="pt-BR"/>
        </w:rPr>
        <w:t>análises realizadas</w:t>
      </w:r>
      <w:r w:rsidRPr="00B02DE4">
        <w:rPr>
          <w:rFonts w:ascii="Times New Roman" w:eastAsia="Times New Roman" w:hAnsi="Times New Roman" w:cs="Times New Roman"/>
          <w:color w:val="000000"/>
          <w:sz w:val="24"/>
          <w:szCs w:val="24"/>
          <w:lang w:eastAsia="pt-BR"/>
        </w:rPr>
        <w:t xml:space="preserve"> pela equipe de auditoria</w:t>
      </w:r>
      <w:r w:rsidR="002128EB">
        <w:rPr>
          <w:rFonts w:ascii="Times New Roman" w:eastAsia="Times New Roman" w:hAnsi="Times New Roman" w:cs="Times New Roman"/>
          <w:color w:val="000000"/>
          <w:sz w:val="24"/>
          <w:szCs w:val="24"/>
          <w:lang w:eastAsia="pt-BR"/>
        </w:rPr>
        <w:t>,</w:t>
      </w:r>
      <w:r w:rsidR="00644DF1">
        <w:rPr>
          <w:rFonts w:ascii="Times New Roman" w:eastAsia="Times New Roman" w:hAnsi="Times New Roman" w:cs="Times New Roman"/>
          <w:color w:val="000000"/>
          <w:sz w:val="24"/>
          <w:szCs w:val="24"/>
          <w:lang w:eastAsia="pt-BR"/>
        </w:rPr>
        <w:t xml:space="preserve"> conforme descrito</w:t>
      </w:r>
      <w:r w:rsidRPr="00B02DE4">
        <w:rPr>
          <w:rFonts w:ascii="Times New Roman" w:eastAsia="Times New Roman" w:hAnsi="Times New Roman" w:cs="Times New Roman"/>
          <w:color w:val="000000"/>
          <w:sz w:val="24"/>
          <w:szCs w:val="24"/>
          <w:lang w:eastAsia="pt-BR"/>
        </w:rPr>
        <w:t xml:space="preserve"> no apêndice B. O Apêndice A detalha a metodologia empregada. As listas </w:t>
      </w:r>
      <w:r w:rsidR="00542AEB">
        <w:rPr>
          <w:rFonts w:ascii="Times New Roman" w:eastAsia="Times New Roman" w:hAnsi="Times New Roman" w:cs="Times New Roman"/>
          <w:color w:val="000000"/>
          <w:sz w:val="24"/>
          <w:szCs w:val="24"/>
          <w:lang w:eastAsia="pt-BR"/>
        </w:rPr>
        <w:t>de siglas, tabelas e quadros</w:t>
      </w:r>
      <w:r w:rsidRPr="00B02DE4">
        <w:rPr>
          <w:rFonts w:ascii="Times New Roman" w:eastAsia="Times New Roman" w:hAnsi="Times New Roman" w:cs="Times New Roman"/>
          <w:color w:val="000000"/>
          <w:sz w:val="24"/>
          <w:szCs w:val="24"/>
          <w:lang w:eastAsia="pt-BR"/>
        </w:rPr>
        <w:t xml:space="preserve"> presentes no texto estão indicadas ao final.</w:t>
      </w:r>
    </w:p>
    <w:p w14:paraId="2A15B2DD" w14:textId="77777777" w:rsidR="0024658C" w:rsidRDefault="0024658C" w:rsidP="00E23F63">
      <w:pPr>
        <w:ind w:firstLine="0"/>
        <w:jc w:val="both"/>
        <w:rPr>
          <w:rFonts w:ascii="Times New Roman" w:eastAsia="Times New Roman" w:hAnsi="Times New Roman" w:cs="Times New Roman"/>
          <w:b/>
          <w:bCs/>
          <w:sz w:val="24"/>
          <w:szCs w:val="24"/>
          <w:lang w:eastAsia="pt-BR"/>
        </w:rPr>
      </w:pPr>
    </w:p>
    <w:p w14:paraId="1D7B9C82" w14:textId="77777777" w:rsidR="00FB1F9A" w:rsidRDefault="00A61C3A" w:rsidP="004B1E97">
      <w:pPr>
        <w:spacing w:before="240"/>
        <w:ind w:firstLine="0"/>
        <w:jc w:val="both"/>
        <w:rPr>
          <w:rFonts w:ascii="Times New Roman" w:eastAsia="Times New Roman" w:hAnsi="Times New Roman" w:cs="Times New Roman"/>
          <w:sz w:val="24"/>
          <w:szCs w:val="24"/>
          <w:lang w:eastAsia="pt-BR"/>
        </w:rPr>
      </w:pPr>
      <w:r w:rsidRPr="00B02DE4">
        <w:rPr>
          <w:rFonts w:ascii="Times New Roman" w:eastAsia="Times New Roman" w:hAnsi="Times New Roman" w:cs="Times New Roman"/>
          <w:b/>
          <w:bCs/>
          <w:sz w:val="24"/>
          <w:szCs w:val="24"/>
          <w:lang w:eastAsia="pt-BR"/>
        </w:rPr>
        <w:t>2. INTRODUÇÃO</w:t>
      </w:r>
    </w:p>
    <w:p w14:paraId="2A2FE0FF" w14:textId="557A2E32" w:rsidR="006A67D5" w:rsidRPr="00E91431" w:rsidRDefault="00406D9D" w:rsidP="007801DD">
      <w:pPr>
        <w:spacing w:before="240"/>
        <w:ind w:firstLine="708"/>
        <w:jc w:val="both"/>
        <w:rPr>
          <w:rFonts w:ascii="Times New Roman" w:eastAsia="Times New Roman" w:hAnsi="Times New Roman" w:cs="Times New Roman"/>
          <w:b/>
          <w:bCs/>
          <w:sz w:val="24"/>
          <w:szCs w:val="24"/>
          <w:lang w:eastAsia="pt-BR"/>
        </w:rPr>
      </w:pPr>
      <w:r w:rsidRPr="00406D9D">
        <w:rPr>
          <w:rFonts w:ascii="Times New Roman" w:hAnsi="Times New Roman" w:cs="Times New Roman"/>
          <w:color w:val="000000"/>
          <w:sz w:val="24"/>
          <w:szCs w:val="24"/>
        </w:rPr>
        <w:t xml:space="preserve">Trata-se de auditoria financeira integrada com conformidade em atendimento ao artigo 13 da </w:t>
      </w:r>
      <w:hyperlink r:id="rId15" w:tgtFrame="_blank" w:history="1">
        <w:r w:rsidRPr="00406D9D">
          <w:rPr>
            <w:rStyle w:val="Hyperlink"/>
            <w:rFonts w:ascii="Times New Roman" w:hAnsi="Times New Roman" w:cs="Times New Roman"/>
            <w:sz w:val="24"/>
            <w:szCs w:val="24"/>
          </w:rPr>
          <w:t>Instrução Normativa TCU 84, de 22 de abril de 2020</w:t>
        </w:r>
      </w:hyperlink>
      <w:r w:rsidRPr="00406D9D">
        <w:rPr>
          <w:rFonts w:ascii="Times New Roman" w:hAnsi="Times New Roman" w:cs="Times New Roman"/>
          <w:color w:val="000000"/>
          <w:sz w:val="24"/>
          <w:szCs w:val="24"/>
        </w:rPr>
        <w:t>, realizada nas conta</w:t>
      </w:r>
      <w:r w:rsidR="0039076E">
        <w:rPr>
          <w:rFonts w:ascii="Times New Roman" w:hAnsi="Times New Roman" w:cs="Times New Roman"/>
          <w:color w:val="000000"/>
          <w:sz w:val="24"/>
          <w:szCs w:val="24"/>
        </w:rPr>
        <w:t>s relativas ao exercício de 202</w:t>
      </w:r>
      <w:r w:rsidR="00E91431">
        <w:rPr>
          <w:rFonts w:ascii="Times New Roman" w:hAnsi="Times New Roman" w:cs="Times New Roman"/>
          <w:color w:val="000000"/>
          <w:sz w:val="24"/>
          <w:szCs w:val="24"/>
        </w:rPr>
        <w:t>5</w:t>
      </w:r>
      <w:r w:rsidR="006D1C18">
        <w:rPr>
          <w:rFonts w:ascii="Times New Roman" w:hAnsi="Times New Roman" w:cs="Times New Roman"/>
          <w:color w:val="000000"/>
          <w:sz w:val="24"/>
          <w:szCs w:val="24"/>
        </w:rPr>
        <w:t xml:space="preserve"> dos responsáveis pela Justiça Federal da 6ª Região</w:t>
      </w:r>
      <w:r w:rsidR="009B5D29">
        <w:rPr>
          <w:rFonts w:ascii="Times New Roman" w:hAnsi="Times New Roman" w:cs="Times New Roman"/>
          <w:color w:val="000000"/>
          <w:sz w:val="24"/>
          <w:szCs w:val="24"/>
        </w:rPr>
        <w:t>,</w:t>
      </w:r>
      <w:r w:rsidRPr="00406D9D">
        <w:rPr>
          <w:rFonts w:ascii="Times New Roman" w:hAnsi="Times New Roman" w:cs="Times New Roman"/>
          <w:color w:val="000000"/>
          <w:sz w:val="24"/>
          <w:szCs w:val="24"/>
        </w:rPr>
        <w:t xml:space="preserve"> </w:t>
      </w:r>
      <w:r w:rsidRPr="00DC1370">
        <w:rPr>
          <w:rFonts w:ascii="Times New Roman" w:hAnsi="Times New Roman" w:cs="Times New Roman"/>
          <w:color w:val="000000"/>
          <w:sz w:val="24"/>
          <w:szCs w:val="24"/>
        </w:rPr>
        <w:t>conforme estabelecido no Plano Anual de Auditori</w:t>
      </w:r>
      <w:r w:rsidR="000B1463">
        <w:rPr>
          <w:rFonts w:ascii="Times New Roman" w:hAnsi="Times New Roman" w:cs="Times New Roman"/>
          <w:color w:val="000000"/>
          <w:sz w:val="24"/>
          <w:szCs w:val="24"/>
        </w:rPr>
        <w:t>a - PAA para o exercício de 202</w:t>
      </w:r>
      <w:r w:rsidR="00E91431">
        <w:rPr>
          <w:rFonts w:ascii="Times New Roman" w:hAnsi="Times New Roman" w:cs="Times New Roman"/>
          <w:color w:val="000000"/>
          <w:sz w:val="24"/>
          <w:szCs w:val="24"/>
        </w:rPr>
        <w:t>5</w:t>
      </w:r>
      <w:r w:rsidRPr="00DC1370">
        <w:rPr>
          <w:rFonts w:ascii="Times New Roman" w:hAnsi="Times New Roman" w:cs="Times New Roman"/>
          <w:color w:val="000000"/>
          <w:sz w:val="24"/>
          <w:szCs w:val="24"/>
        </w:rPr>
        <w:t xml:space="preserve">, </w:t>
      </w:r>
      <w:proofErr w:type="spellStart"/>
      <w:r w:rsidR="00DC1370" w:rsidRPr="00DC1370">
        <w:rPr>
          <w:rFonts w:ascii="Times New Roman" w:hAnsi="Times New Roman" w:cs="Times New Roman"/>
          <w:color w:val="000000"/>
          <w:sz w:val="24"/>
          <w:szCs w:val="24"/>
        </w:rPr>
        <w:t>PAe</w:t>
      </w:r>
      <w:proofErr w:type="spellEnd"/>
      <w:r w:rsidR="00DC1370" w:rsidRPr="00DC1370">
        <w:rPr>
          <w:rFonts w:ascii="Times New Roman" w:hAnsi="Times New Roman" w:cs="Times New Roman"/>
          <w:color w:val="000000"/>
          <w:sz w:val="24"/>
          <w:szCs w:val="24"/>
        </w:rPr>
        <w:t xml:space="preserve"> SEI </w:t>
      </w:r>
      <w:bookmarkStart w:id="1" w:name="_Toc67064349"/>
      <w:r w:rsidR="00E91431" w:rsidRPr="00B7185F">
        <w:rPr>
          <w:rFonts w:ascii="Times New Roman" w:hAnsi="Times New Roman" w:cs="Times New Roman"/>
          <w:sz w:val="24"/>
          <w:szCs w:val="24"/>
        </w:rPr>
        <w:t>0013977-72.2024.4.06.8000</w:t>
      </w:r>
      <w:r w:rsidR="000B1463" w:rsidRPr="00E91431">
        <w:rPr>
          <w:rFonts w:ascii="Times New Roman" w:hAnsi="Times New Roman" w:cs="Times New Roman"/>
          <w:color w:val="000000"/>
          <w:sz w:val="24"/>
          <w:szCs w:val="24"/>
        </w:rPr>
        <w:t>, (id. </w:t>
      </w:r>
      <w:r w:rsidR="00E91431" w:rsidRPr="00B7185F">
        <w:rPr>
          <w:rFonts w:ascii="Times New Roman" w:hAnsi="Times New Roman" w:cs="Times New Roman"/>
          <w:sz w:val="24"/>
          <w:szCs w:val="24"/>
        </w:rPr>
        <w:t>0969459</w:t>
      </w:r>
      <w:r w:rsidR="000B1463" w:rsidRPr="00E91431">
        <w:rPr>
          <w:rFonts w:ascii="Times New Roman" w:hAnsi="Times New Roman" w:cs="Times New Roman"/>
          <w:color w:val="000000"/>
          <w:sz w:val="24"/>
          <w:szCs w:val="24"/>
        </w:rPr>
        <w:t>)</w:t>
      </w:r>
      <w:r w:rsidR="00241099" w:rsidRPr="00E91431">
        <w:rPr>
          <w:rFonts w:ascii="Times New Roman" w:hAnsi="Times New Roman" w:cs="Times New Roman"/>
          <w:color w:val="000000"/>
          <w:sz w:val="24"/>
          <w:szCs w:val="24"/>
        </w:rPr>
        <w:t>.</w:t>
      </w:r>
    </w:p>
    <w:p w14:paraId="09D77234" w14:textId="77777777" w:rsidR="0024658C" w:rsidRDefault="0024658C" w:rsidP="00C40E28">
      <w:pPr>
        <w:ind w:firstLine="0"/>
        <w:jc w:val="both"/>
        <w:rPr>
          <w:rFonts w:ascii="Times New Roman" w:eastAsia="Times New Roman" w:hAnsi="Times New Roman" w:cs="Times New Roman"/>
          <w:b/>
          <w:bCs/>
          <w:sz w:val="24"/>
          <w:szCs w:val="24"/>
          <w:lang w:eastAsia="pt-BR"/>
        </w:rPr>
      </w:pPr>
    </w:p>
    <w:p w14:paraId="2944E705" w14:textId="77777777" w:rsidR="00A61C3A" w:rsidRPr="00406D9D" w:rsidRDefault="00A61C3A" w:rsidP="004B1E97">
      <w:pPr>
        <w:spacing w:before="240"/>
        <w:ind w:firstLine="0"/>
        <w:jc w:val="both"/>
        <w:rPr>
          <w:rFonts w:ascii="Times New Roman" w:eastAsia="Times New Roman" w:hAnsi="Times New Roman" w:cs="Times New Roman"/>
          <w:sz w:val="24"/>
          <w:szCs w:val="24"/>
          <w:lang w:eastAsia="pt-BR"/>
        </w:rPr>
      </w:pPr>
      <w:r w:rsidRPr="00406D9D">
        <w:rPr>
          <w:rFonts w:ascii="Times New Roman" w:eastAsia="Times New Roman" w:hAnsi="Times New Roman" w:cs="Times New Roman"/>
          <w:b/>
          <w:bCs/>
          <w:sz w:val="24"/>
          <w:szCs w:val="24"/>
          <w:lang w:eastAsia="pt-BR"/>
        </w:rPr>
        <w:t>2.1</w:t>
      </w:r>
      <w:r w:rsidR="00C40E28">
        <w:rPr>
          <w:rFonts w:ascii="Times New Roman" w:eastAsia="Times New Roman" w:hAnsi="Times New Roman" w:cs="Times New Roman"/>
          <w:b/>
          <w:bCs/>
          <w:sz w:val="24"/>
          <w:szCs w:val="24"/>
          <w:lang w:eastAsia="pt-BR"/>
        </w:rPr>
        <w:t>.</w:t>
      </w:r>
      <w:r w:rsidRPr="00406D9D">
        <w:rPr>
          <w:rFonts w:ascii="Times New Roman" w:eastAsia="Times New Roman" w:hAnsi="Times New Roman" w:cs="Times New Roman"/>
          <w:b/>
          <w:bCs/>
          <w:sz w:val="24"/>
          <w:szCs w:val="24"/>
          <w:lang w:eastAsia="pt-BR"/>
        </w:rPr>
        <w:t xml:space="preserve"> Visão geral do objeto</w:t>
      </w:r>
      <w:bookmarkEnd w:id="1"/>
    </w:p>
    <w:p w14:paraId="535F7226" w14:textId="77777777" w:rsidR="00715BD1" w:rsidRDefault="00A61C3A" w:rsidP="007801DD">
      <w:pPr>
        <w:spacing w:before="240"/>
        <w:ind w:right="120" w:firstLine="708"/>
        <w:jc w:val="both"/>
        <w:rPr>
          <w:rFonts w:ascii="Times New Roman" w:eastAsia="Times New Roman" w:hAnsi="Times New Roman" w:cs="Times New Roman"/>
          <w:color w:val="000000"/>
          <w:sz w:val="24"/>
          <w:szCs w:val="24"/>
          <w:lang w:eastAsia="pt-BR"/>
        </w:rPr>
      </w:pPr>
      <w:r w:rsidRPr="00B02DE4">
        <w:rPr>
          <w:rFonts w:ascii="Times New Roman" w:eastAsia="Times New Roman" w:hAnsi="Times New Roman" w:cs="Times New Roman"/>
          <w:color w:val="000000"/>
          <w:sz w:val="24"/>
          <w:szCs w:val="24"/>
          <w:lang w:eastAsia="pt-BR"/>
        </w:rPr>
        <w:lastRenderedPageBreak/>
        <w:t xml:space="preserve">A Justiça Federal da 6ª Região foi criada pela </w:t>
      </w:r>
      <w:hyperlink r:id="rId16" w:tgtFrame="_blank" w:history="1">
        <w:r w:rsidRPr="00B02DE4">
          <w:rPr>
            <w:rFonts w:ascii="Times New Roman" w:eastAsia="Times New Roman" w:hAnsi="Times New Roman" w:cs="Times New Roman"/>
            <w:color w:val="0000FF"/>
            <w:sz w:val="24"/>
            <w:szCs w:val="24"/>
            <w:u w:val="single"/>
            <w:lang w:eastAsia="pt-BR"/>
          </w:rPr>
          <w:t>Lei 14.226 de 20 de outubro de 2021</w:t>
        </w:r>
      </w:hyperlink>
      <w:r w:rsidRPr="00B02DE4">
        <w:rPr>
          <w:rFonts w:ascii="Times New Roman" w:eastAsia="Times New Roman" w:hAnsi="Times New Roman" w:cs="Times New Roman"/>
          <w:color w:val="000000"/>
          <w:sz w:val="24"/>
          <w:szCs w:val="24"/>
          <w:lang w:eastAsia="pt-BR"/>
        </w:rPr>
        <w:t xml:space="preserve">. A regulamentação da organização inicial do TRF6 foi estabelecida pelo CJF - Conselho da Justiça Federal, por meio da </w:t>
      </w:r>
      <w:hyperlink r:id="rId17" w:tgtFrame="_blank" w:history="1">
        <w:r w:rsidRPr="00B02DE4">
          <w:rPr>
            <w:rFonts w:ascii="Times New Roman" w:eastAsia="Times New Roman" w:hAnsi="Times New Roman" w:cs="Times New Roman"/>
            <w:color w:val="0000FF"/>
            <w:sz w:val="24"/>
            <w:szCs w:val="24"/>
            <w:u w:val="single"/>
            <w:lang w:eastAsia="pt-BR"/>
          </w:rPr>
          <w:t>Resolução CJF nº 742, de 14 de dezembro de 2021</w:t>
        </w:r>
      </w:hyperlink>
      <w:r w:rsidRPr="00B02DE4">
        <w:rPr>
          <w:rFonts w:ascii="Times New Roman" w:eastAsia="Times New Roman" w:hAnsi="Times New Roman" w:cs="Times New Roman"/>
          <w:color w:val="000000"/>
          <w:sz w:val="24"/>
          <w:szCs w:val="24"/>
          <w:lang w:eastAsia="pt-BR"/>
        </w:rPr>
        <w:t xml:space="preserve">, alterada pela </w:t>
      </w:r>
      <w:hyperlink r:id="rId18" w:tgtFrame="_blank" w:history="1">
        <w:r w:rsidRPr="00B02DE4">
          <w:rPr>
            <w:rFonts w:ascii="Times New Roman" w:eastAsia="Times New Roman" w:hAnsi="Times New Roman" w:cs="Times New Roman"/>
            <w:color w:val="0000FF"/>
            <w:sz w:val="24"/>
            <w:szCs w:val="24"/>
            <w:u w:val="single"/>
            <w:lang w:eastAsia="pt-BR"/>
          </w:rPr>
          <w:t>Resolução CJF 787, de 24 de agosto de 2022</w:t>
        </w:r>
      </w:hyperlink>
      <w:r w:rsidRPr="00B02DE4">
        <w:rPr>
          <w:rFonts w:ascii="Times New Roman" w:eastAsia="Times New Roman" w:hAnsi="Times New Roman" w:cs="Times New Roman"/>
          <w:color w:val="000000"/>
          <w:sz w:val="24"/>
          <w:szCs w:val="24"/>
          <w:lang w:eastAsia="pt-BR"/>
        </w:rPr>
        <w:t>, que dispôs sobre o organograma do Tribunal, a reestruturação das unidades da Seção Judiciária de Minas Gerais - SJMG e a implementação de medidas administrativas para cumprimento da Lei de criação do TRF6 e de fixação do total de cargos efetivos, de funções comissionadas e de cargos em comissão da Justiça Federal de 1º e 2º graus da 6ª Região.</w:t>
      </w:r>
      <w:r w:rsidR="00046D73">
        <w:rPr>
          <w:rFonts w:ascii="Times New Roman" w:eastAsia="Times New Roman" w:hAnsi="Times New Roman" w:cs="Times New Roman"/>
          <w:color w:val="000000"/>
          <w:sz w:val="24"/>
          <w:szCs w:val="24"/>
          <w:lang w:eastAsia="pt-BR"/>
        </w:rPr>
        <w:t xml:space="preserve"> </w:t>
      </w:r>
    </w:p>
    <w:p w14:paraId="0FAAF2A6" w14:textId="77777777" w:rsidR="00A61C3A" w:rsidRPr="00B02DE4" w:rsidRDefault="00046D73" w:rsidP="007801DD">
      <w:pPr>
        <w:spacing w:before="240"/>
        <w:ind w:right="120" w:firstLine="708"/>
        <w:jc w:val="both"/>
        <w:rPr>
          <w:rFonts w:ascii="Times New Roman" w:eastAsia="Times New Roman" w:hAnsi="Times New Roman" w:cs="Times New Roman"/>
          <w:sz w:val="24"/>
          <w:szCs w:val="24"/>
          <w:lang w:eastAsia="pt-BR"/>
        </w:rPr>
      </w:pPr>
      <w:r w:rsidRPr="00B02DE4">
        <w:rPr>
          <w:rFonts w:ascii="Times New Roman" w:eastAsia="Times New Roman" w:hAnsi="Times New Roman" w:cs="Times New Roman"/>
          <w:color w:val="000000"/>
          <w:sz w:val="24"/>
          <w:szCs w:val="24"/>
          <w:lang w:eastAsia="pt-BR"/>
        </w:rPr>
        <w:t>O TRF6 foi efetivamente instalado</w:t>
      </w:r>
      <w:r w:rsidR="00B74254">
        <w:rPr>
          <w:rFonts w:ascii="Times New Roman" w:eastAsia="Times New Roman" w:hAnsi="Times New Roman" w:cs="Times New Roman"/>
          <w:color w:val="000000"/>
          <w:sz w:val="24"/>
          <w:szCs w:val="24"/>
          <w:lang w:eastAsia="pt-BR"/>
        </w:rPr>
        <w:t xml:space="preserve"> em Belo Horizonte, no dia </w:t>
      </w:r>
      <w:r w:rsidRPr="00B02DE4">
        <w:rPr>
          <w:rFonts w:ascii="Times New Roman" w:eastAsia="Times New Roman" w:hAnsi="Times New Roman" w:cs="Times New Roman"/>
          <w:color w:val="000000"/>
          <w:sz w:val="24"/>
          <w:szCs w:val="24"/>
          <w:lang w:eastAsia="pt-BR"/>
        </w:rPr>
        <w:t>19</w:t>
      </w:r>
      <w:r w:rsidR="00B74254">
        <w:rPr>
          <w:rFonts w:ascii="Times New Roman" w:eastAsia="Times New Roman" w:hAnsi="Times New Roman" w:cs="Times New Roman"/>
          <w:color w:val="000000"/>
          <w:sz w:val="24"/>
          <w:szCs w:val="24"/>
          <w:lang w:eastAsia="pt-BR"/>
        </w:rPr>
        <w:t xml:space="preserve"> de agosto de </w:t>
      </w:r>
      <w:r w:rsidRPr="00B02DE4">
        <w:rPr>
          <w:rFonts w:ascii="Times New Roman" w:eastAsia="Times New Roman" w:hAnsi="Times New Roman" w:cs="Times New Roman"/>
          <w:color w:val="000000"/>
          <w:sz w:val="24"/>
          <w:szCs w:val="24"/>
          <w:lang w:eastAsia="pt-BR"/>
        </w:rPr>
        <w:t xml:space="preserve">2022, por meio da </w:t>
      </w:r>
      <w:hyperlink r:id="rId19" w:tgtFrame="_blank" w:history="1">
        <w:r w:rsidRPr="00B02DE4">
          <w:rPr>
            <w:rFonts w:ascii="Times New Roman" w:eastAsia="Times New Roman" w:hAnsi="Times New Roman" w:cs="Times New Roman"/>
            <w:color w:val="0000FF"/>
            <w:sz w:val="24"/>
            <w:szCs w:val="24"/>
            <w:u w:val="single"/>
            <w:lang w:eastAsia="pt-BR"/>
          </w:rPr>
          <w:t>Portaria CJF nº 386, de 11 julho de 2022</w:t>
        </w:r>
      </w:hyperlink>
      <w:r w:rsidRPr="00B02DE4">
        <w:rPr>
          <w:rFonts w:ascii="Times New Roman" w:eastAsia="Times New Roman" w:hAnsi="Times New Roman" w:cs="Times New Roman"/>
          <w:color w:val="000000"/>
          <w:sz w:val="24"/>
          <w:szCs w:val="24"/>
          <w:lang w:eastAsia="pt-BR"/>
        </w:rPr>
        <w:t xml:space="preserve">, que dispôs sobre a data de instalação do Tribunal Regional Federal da 6ª Região, nos termos do art. 1º, § 1º, da </w:t>
      </w:r>
      <w:hyperlink r:id="rId20" w:tgtFrame="_blank" w:history="1">
        <w:r w:rsidRPr="00B02DE4">
          <w:rPr>
            <w:rFonts w:ascii="Times New Roman" w:eastAsia="Times New Roman" w:hAnsi="Times New Roman" w:cs="Times New Roman"/>
            <w:color w:val="0000FF"/>
            <w:sz w:val="24"/>
            <w:szCs w:val="24"/>
            <w:u w:val="single"/>
            <w:lang w:eastAsia="pt-BR"/>
          </w:rPr>
          <w:t>Resolução CJF nº 742/2021</w:t>
        </w:r>
      </w:hyperlink>
      <w:r w:rsidR="00715BD1">
        <w:t>.</w:t>
      </w:r>
    </w:p>
    <w:p w14:paraId="2C2B91CA" w14:textId="4E1F5AA2" w:rsidR="00A61C3A" w:rsidRPr="00B02DE4" w:rsidRDefault="00A61C3A" w:rsidP="007801DD">
      <w:pPr>
        <w:spacing w:before="240"/>
        <w:ind w:right="120" w:firstLine="708"/>
        <w:jc w:val="both"/>
        <w:rPr>
          <w:rFonts w:ascii="Times New Roman" w:eastAsia="Times New Roman" w:hAnsi="Times New Roman" w:cs="Times New Roman"/>
          <w:sz w:val="24"/>
          <w:szCs w:val="24"/>
          <w:lang w:eastAsia="pt-BR"/>
        </w:rPr>
      </w:pPr>
      <w:r w:rsidRPr="00B02DE4">
        <w:rPr>
          <w:rFonts w:ascii="Times New Roman" w:eastAsia="Times New Roman" w:hAnsi="Times New Roman" w:cs="Times New Roman"/>
          <w:color w:val="000000"/>
          <w:sz w:val="24"/>
          <w:szCs w:val="24"/>
          <w:lang w:eastAsia="pt-BR"/>
        </w:rPr>
        <w:t>A Justiça Federal da 6ª Regiã</w:t>
      </w:r>
      <w:r w:rsidR="00AF3DE8">
        <w:rPr>
          <w:rFonts w:ascii="Times New Roman" w:eastAsia="Times New Roman" w:hAnsi="Times New Roman" w:cs="Times New Roman"/>
          <w:color w:val="000000"/>
          <w:sz w:val="24"/>
          <w:szCs w:val="24"/>
          <w:lang w:eastAsia="pt-BR"/>
        </w:rPr>
        <w:t>o abrange o 1</w:t>
      </w:r>
      <w:r w:rsidR="000B7FAB">
        <w:rPr>
          <w:rFonts w:ascii="Times New Roman" w:eastAsia="Times New Roman" w:hAnsi="Times New Roman" w:cs="Times New Roman"/>
          <w:color w:val="000000"/>
          <w:sz w:val="24"/>
          <w:szCs w:val="24"/>
          <w:lang w:eastAsia="pt-BR"/>
        </w:rPr>
        <w:t>º</w:t>
      </w:r>
      <w:r w:rsidR="00745785">
        <w:rPr>
          <w:rFonts w:ascii="Times New Roman" w:eastAsia="Times New Roman" w:hAnsi="Times New Roman" w:cs="Times New Roman"/>
          <w:color w:val="000000"/>
          <w:sz w:val="24"/>
          <w:szCs w:val="24"/>
          <w:lang w:eastAsia="pt-BR"/>
        </w:rPr>
        <w:t xml:space="preserve"> e o</w:t>
      </w:r>
      <w:r w:rsidR="00AF3DE8">
        <w:rPr>
          <w:rFonts w:ascii="Times New Roman" w:eastAsia="Times New Roman" w:hAnsi="Times New Roman" w:cs="Times New Roman"/>
          <w:color w:val="000000"/>
          <w:sz w:val="24"/>
          <w:szCs w:val="24"/>
          <w:lang w:eastAsia="pt-BR"/>
        </w:rPr>
        <w:t xml:space="preserve"> 2</w:t>
      </w:r>
      <w:r w:rsidR="000B7FAB">
        <w:rPr>
          <w:rFonts w:ascii="Times New Roman" w:eastAsia="Times New Roman" w:hAnsi="Times New Roman" w:cs="Times New Roman"/>
          <w:color w:val="000000"/>
          <w:sz w:val="24"/>
          <w:szCs w:val="24"/>
          <w:lang w:eastAsia="pt-BR"/>
        </w:rPr>
        <w:t>º</w:t>
      </w:r>
      <w:r w:rsidR="00AF3DE8">
        <w:rPr>
          <w:rFonts w:ascii="Times New Roman" w:eastAsia="Times New Roman" w:hAnsi="Times New Roman" w:cs="Times New Roman"/>
          <w:color w:val="000000"/>
          <w:sz w:val="24"/>
          <w:szCs w:val="24"/>
          <w:lang w:eastAsia="pt-BR"/>
        </w:rPr>
        <w:t xml:space="preserve"> graus, representado</w:t>
      </w:r>
      <w:r w:rsidRPr="00B02DE4">
        <w:rPr>
          <w:rFonts w:ascii="Times New Roman" w:eastAsia="Times New Roman" w:hAnsi="Times New Roman" w:cs="Times New Roman"/>
          <w:color w:val="000000"/>
          <w:sz w:val="24"/>
          <w:szCs w:val="24"/>
          <w:lang w:eastAsia="pt-BR"/>
        </w:rPr>
        <w:t>s, respectivamente, pela Seção Judiciária de Minas Gerais e pelo Tribunal Regional Federal da 6ª Região.</w:t>
      </w:r>
      <w:r w:rsidR="006D4F18">
        <w:rPr>
          <w:rFonts w:ascii="Times New Roman" w:eastAsia="Times New Roman" w:hAnsi="Times New Roman" w:cs="Times New Roman"/>
          <w:color w:val="000000"/>
          <w:sz w:val="24"/>
          <w:szCs w:val="24"/>
          <w:lang w:eastAsia="pt-BR"/>
        </w:rPr>
        <w:t xml:space="preserve"> </w:t>
      </w:r>
      <w:r w:rsidRPr="00B02DE4">
        <w:rPr>
          <w:rFonts w:ascii="Times New Roman" w:eastAsia="Times New Roman" w:hAnsi="Times New Roman" w:cs="Times New Roman"/>
          <w:color w:val="000000"/>
          <w:sz w:val="24"/>
          <w:szCs w:val="24"/>
          <w:lang w:eastAsia="pt-BR"/>
        </w:rPr>
        <w:t>Cabe ressaltar que a Seção Judiciária de Minas Gerais - SJMG,</w:t>
      </w:r>
      <w:r w:rsidR="00891BFE">
        <w:rPr>
          <w:rFonts w:ascii="Times New Roman" w:eastAsia="Times New Roman" w:hAnsi="Times New Roman" w:cs="Times New Roman"/>
          <w:color w:val="000000"/>
          <w:sz w:val="24"/>
          <w:szCs w:val="24"/>
          <w:lang w:eastAsia="pt-BR"/>
        </w:rPr>
        <w:t xml:space="preserve"> com sede em Belo Horizonte,</w:t>
      </w:r>
      <w:r w:rsidRPr="00B02DE4">
        <w:rPr>
          <w:rFonts w:ascii="Times New Roman" w:eastAsia="Times New Roman" w:hAnsi="Times New Roman" w:cs="Times New Roman"/>
          <w:color w:val="000000"/>
          <w:sz w:val="24"/>
          <w:szCs w:val="24"/>
          <w:lang w:eastAsia="pt-BR"/>
        </w:rPr>
        <w:t xml:space="preserve"> criada pela </w:t>
      </w:r>
      <w:hyperlink r:id="rId21" w:tgtFrame="_blank" w:history="1">
        <w:r w:rsidRPr="00B02DE4">
          <w:rPr>
            <w:rFonts w:ascii="Times New Roman" w:eastAsia="Times New Roman" w:hAnsi="Times New Roman" w:cs="Times New Roman"/>
            <w:color w:val="0000FF"/>
            <w:sz w:val="24"/>
            <w:szCs w:val="24"/>
            <w:u w:val="single"/>
            <w:lang w:eastAsia="pt-BR"/>
          </w:rPr>
          <w:t>Lei 5.010, de 30/05/66</w:t>
        </w:r>
      </w:hyperlink>
      <w:r w:rsidRPr="00B02DE4">
        <w:rPr>
          <w:rFonts w:ascii="Times New Roman" w:eastAsia="Times New Roman" w:hAnsi="Times New Roman" w:cs="Times New Roman"/>
          <w:color w:val="000000"/>
          <w:sz w:val="24"/>
          <w:szCs w:val="24"/>
          <w:lang w:eastAsia="pt-BR"/>
        </w:rPr>
        <w:t xml:space="preserve">, e efetivamente instalada em 26/10/1967, até a data de instalação do TRF6 </w:t>
      </w:r>
      <w:r w:rsidR="00941DE0">
        <w:rPr>
          <w:rFonts w:ascii="Times New Roman" w:eastAsia="Times New Roman" w:hAnsi="Times New Roman" w:cs="Times New Roman"/>
          <w:color w:val="000000"/>
          <w:sz w:val="24"/>
          <w:szCs w:val="24"/>
          <w:lang w:eastAsia="pt-BR"/>
        </w:rPr>
        <w:t>era parte</w:t>
      </w:r>
      <w:r w:rsidR="00941DE0" w:rsidRPr="00B02DE4">
        <w:rPr>
          <w:rFonts w:ascii="Times New Roman" w:eastAsia="Times New Roman" w:hAnsi="Times New Roman" w:cs="Times New Roman"/>
          <w:color w:val="000000"/>
          <w:sz w:val="24"/>
          <w:szCs w:val="24"/>
          <w:lang w:eastAsia="pt-BR"/>
        </w:rPr>
        <w:t xml:space="preserve"> </w:t>
      </w:r>
      <w:r w:rsidR="00941DE0">
        <w:rPr>
          <w:rFonts w:ascii="Times New Roman" w:eastAsia="Times New Roman" w:hAnsi="Times New Roman" w:cs="Times New Roman"/>
          <w:color w:val="000000"/>
          <w:sz w:val="24"/>
          <w:szCs w:val="24"/>
          <w:lang w:eastAsia="pt-BR"/>
        </w:rPr>
        <w:t>integrante do</w:t>
      </w:r>
      <w:r w:rsidRPr="00B02DE4">
        <w:rPr>
          <w:rFonts w:ascii="Times New Roman" w:eastAsia="Times New Roman" w:hAnsi="Times New Roman" w:cs="Times New Roman"/>
          <w:color w:val="000000"/>
          <w:sz w:val="24"/>
          <w:szCs w:val="24"/>
          <w:lang w:eastAsia="pt-BR"/>
        </w:rPr>
        <w:t xml:space="preserve"> Tribunal Regional Federal da 1ª Região.</w:t>
      </w:r>
    </w:p>
    <w:p w14:paraId="1E84B0CD" w14:textId="77777777" w:rsidR="00FA1495" w:rsidRDefault="00FA1495" w:rsidP="007801DD">
      <w:pPr>
        <w:spacing w:before="240"/>
        <w:ind w:right="120" w:firstLine="708"/>
        <w:jc w:val="both"/>
        <w:rPr>
          <w:rFonts w:ascii="Times New Roman" w:hAnsi="Times New Roman" w:cs="Times New Roman"/>
          <w:color w:val="000000"/>
          <w:sz w:val="24"/>
          <w:szCs w:val="24"/>
        </w:rPr>
      </w:pPr>
      <w:r w:rsidRPr="00FA1495">
        <w:rPr>
          <w:rFonts w:ascii="Times New Roman" w:hAnsi="Times New Roman" w:cs="Times New Roman"/>
          <w:color w:val="000000"/>
          <w:sz w:val="24"/>
          <w:szCs w:val="24"/>
        </w:rPr>
        <w:t xml:space="preserve">A seguir estão identificadas a natureza jurídica, o CNPJ e a página na internet da entidade e evidenciadas as informações de natureza contábil, os responsáveis </w:t>
      </w:r>
      <w:r w:rsidR="00A02260">
        <w:rPr>
          <w:rFonts w:ascii="Times New Roman" w:hAnsi="Times New Roman" w:cs="Times New Roman"/>
          <w:color w:val="000000"/>
          <w:sz w:val="24"/>
          <w:szCs w:val="24"/>
        </w:rPr>
        <w:t>pel</w:t>
      </w:r>
      <w:r w:rsidRPr="00FA1495">
        <w:rPr>
          <w:rFonts w:ascii="Times New Roman" w:hAnsi="Times New Roman" w:cs="Times New Roman"/>
          <w:color w:val="000000"/>
          <w:sz w:val="24"/>
          <w:szCs w:val="24"/>
        </w:rPr>
        <w:t>o órgão e o contador responsável no âmbito do TRF6:</w:t>
      </w:r>
    </w:p>
    <w:p w14:paraId="637F67B6" w14:textId="77777777" w:rsidR="007801DD" w:rsidRPr="00252DF7" w:rsidRDefault="007801DD" w:rsidP="00E23F63">
      <w:pPr>
        <w:ind w:right="119"/>
        <w:jc w:val="both"/>
        <w:rPr>
          <w:rFonts w:ascii="Times New Roman" w:hAnsi="Times New Roman" w:cs="Times New Roman"/>
          <w:color w:val="000000"/>
          <w:sz w:val="24"/>
          <w:szCs w:val="24"/>
        </w:rPr>
      </w:pPr>
    </w:p>
    <w:p w14:paraId="0AFA6648" w14:textId="46503A3F" w:rsidR="00B85ADF" w:rsidRDefault="00A61C3A" w:rsidP="00A74CFA">
      <w:pPr>
        <w:ind w:right="120" w:firstLine="0"/>
        <w:jc w:val="center"/>
        <w:rPr>
          <w:rFonts w:ascii="Times New Roman" w:eastAsia="Times New Roman" w:hAnsi="Times New Roman" w:cs="Times New Roman"/>
          <w:b/>
          <w:bCs/>
          <w:lang w:eastAsia="pt-BR"/>
        </w:rPr>
      </w:pPr>
      <w:r w:rsidRPr="00C47BED">
        <w:rPr>
          <w:rFonts w:ascii="Times New Roman" w:eastAsia="Times New Roman" w:hAnsi="Times New Roman" w:cs="Times New Roman"/>
          <w:b/>
          <w:bCs/>
          <w:lang w:eastAsia="pt-BR"/>
        </w:rPr>
        <w:t>Quadro 1 - Identificação d</w:t>
      </w:r>
      <w:r w:rsidR="00946462" w:rsidRPr="00C47BED">
        <w:rPr>
          <w:rFonts w:ascii="Times New Roman" w:eastAsia="Times New Roman" w:hAnsi="Times New Roman" w:cs="Times New Roman"/>
          <w:b/>
          <w:bCs/>
          <w:lang w:eastAsia="pt-BR"/>
        </w:rPr>
        <w:t>o Órgão</w:t>
      </w:r>
    </w:p>
    <w:tbl>
      <w:tblPr>
        <w:tblStyle w:val="Tabelacomgrade"/>
        <w:tblW w:w="0" w:type="auto"/>
        <w:tblLook w:val="04A0" w:firstRow="1" w:lastRow="0" w:firstColumn="1" w:lastColumn="0" w:noHBand="0" w:noVBand="1"/>
      </w:tblPr>
      <w:tblGrid>
        <w:gridCol w:w="4957"/>
        <w:gridCol w:w="1272"/>
        <w:gridCol w:w="3115"/>
      </w:tblGrid>
      <w:tr w:rsidR="00B85ADF" w:rsidRPr="00A74CFA" w14:paraId="04D14A91" w14:textId="77777777" w:rsidTr="00B85ADF">
        <w:tc>
          <w:tcPr>
            <w:tcW w:w="9344" w:type="dxa"/>
            <w:gridSpan w:val="3"/>
            <w:shd w:val="clear" w:color="auto" w:fill="D9D9D9" w:themeFill="background1" w:themeFillShade="D9"/>
          </w:tcPr>
          <w:p w14:paraId="40F7FDD2" w14:textId="501AC69D"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sz w:val="20"/>
                <w:szCs w:val="20"/>
                <w:lang w:eastAsia="pt-BR"/>
              </w:rPr>
              <w:t>IDENTIFICAÇÃO DO ÓRGÃO</w:t>
            </w:r>
          </w:p>
        </w:tc>
      </w:tr>
      <w:tr w:rsidR="00B85ADF" w:rsidRPr="00A74CFA" w14:paraId="20000986" w14:textId="77777777" w:rsidTr="003F13E2">
        <w:tc>
          <w:tcPr>
            <w:tcW w:w="9344" w:type="dxa"/>
            <w:gridSpan w:val="3"/>
          </w:tcPr>
          <w:p w14:paraId="5410B517" w14:textId="5B2BA6DB"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color w:val="000000"/>
                <w:sz w:val="20"/>
                <w:szCs w:val="20"/>
                <w:lang w:eastAsia="pt-BR"/>
              </w:rPr>
              <w:t xml:space="preserve">Natureza Jurídica: </w:t>
            </w:r>
            <w:r w:rsidRPr="00A74CFA">
              <w:rPr>
                <w:rFonts w:ascii="Times New Roman" w:eastAsia="Times New Roman" w:hAnsi="Times New Roman" w:cs="Times New Roman"/>
                <w:color w:val="000000"/>
                <w:sz w:val="20"/>
                <w:szCs w:val="20"/>
                <w:lang w:eastAsia="pt-BR"/>
              </w:rPr>
              <w:t>Pessoa Jurídica de direito público</w:t>
            </w:r>
          </w:p>
        </w:tc>
      </w:tr>
      <w:tr w:rsidR="00B85ADF" w:rsidRPr="00A74CFA" w14:paraId="7024F96F" w14:textId="77777777" w:rsidTr="004B2976">
        <w:tc>
          <w:tcPr>
            <w:tcW w:w="9344" w:type="dxa"/>
            <w:gridSpan w:val="3"/>
          </w:tcPr>
          <w:p w14:paraId="171733A5" w14:textId="5A4247EB"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color w:val="000000"/>
                <w:sz w:val="20"/>
                <w:szCs w:val="20"/>
                <w:lang w:eastAsia="pt-BR"/>
              </w:rPr>
              <w:t xml:space="preserve">Página na Internet: </w:t>
            </w:r>
            <w:hyperlink r:id="rId22" w:tgtFrame="_blank" w:history="1">
              <w:r w:rsidRPr="00A74CFA">
                <w:rPr>
                  <w:rFonts w:ascii="Times New Roman" w:eastAsia="Times New Roman" w:hAnsi="Times New Roman" w:cs="Times New Roman"/>
                  <w:color w:val="0000FF"/>
                  <w:sz w:val="20"/>
                  <w:szCs w:val="20"/>
                  <w:u w:val="single"/>
                  <w:lang w:eastAsia="pt-BR"/>
                </w:rPr>
                <w:t>https://portal.trf6.jus.br/</w:t>
              </w:r>
            </w:hyperlink>
          </w:p>
        </w:tc>
      </w:tr>
      <w:tr w:rsidR="00B85ADF" w:rsidRPr="00A74CFA" w14:paraId="0215AEAC" w14:textId="77777777" w:rsidTr="00B85ADF">
        <w:tc>
          <w:tcPr>
            <w:tcW w:w="4957" w:type="dxa"/>
          </w:tcPr>
          <w:p w14:paraId="558215E1" w14:textId="041F5DFE"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color w:val="000000"/>
                <w:sz w:val="20"/>
                <w:szCs w:val="20"/>
                <w:lang w:eastAsia="pt-BR"/>
              </w:rPr>
              <w:t>Órgão/Entidade:</w:t>
            </w:r>
          </w:p>
        </w:tc>
        <w:tc>
          <w:tcPr>
            <w:tcW w:w="1272" w:type="dxa"/>
          </w:tcPr>
          <w:p w14:paraId="7A8E2AA2" w14:textId="4A8D038D"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color w:val="000000"/>
                <w:sz w:val="20"/>
                <w:szCs w:val="20"/>
                <w:lang w:eastAsia="pt-BR"/>
              </w:rPr>
              <w:t>Siglas:</w:t>
            </w:r>
          </w:p>
        </w:tc>
        <w:tc>
          <w:tcPr>
            <w:tcW w:w="3115" w:type="dxa"/>
          </w:tcPr>
          <w:p w14:paraId="3B067726" w14:textId="7F1706DC"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color w:val="000000"/>
                <w:sz w:val="20"/>
                <w:szCs w:val="20"/>
                <w:lang w:eastAsia="pt-BR"/>
              </w:rPr>
              <w:t>CNPJ:</w:t>
            </w:r>
          </w:p>
        </w:tc>
      </w:tr>
      <w:tr w:rsidR="00B85ADF" w:rsidRPr="00A74CFA" w14:paraId="708D209F" w14:textId="77777777" w:rsidTr="00B85ADF">
        <w:tc>
          <w:tcPr>
            <w:tcW w:w="4957" w:type="dxa"/>
          </w:tcPr>
          <w:p w14:paraId="14DAA300" w14:textId="1692CCDB"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Tribunal Regional Federal da 6ª Região</w:t>
            </w:r>
          </w:p>
        </w:tc>
        <w:tc>
          <w:tcPr>
            <w:tcW w:w="1272" w:type="dxa"/>
          </w:tcPr>
          <w:p w14:paraId="22ABF86B" w14:textId="3BA3B7C5"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TRF6</w:t>
            </w:r>
          </w:p>
        </w:tc>
        <w:tc>
          <w:tcPr>
            <w:tcW w:w="3115" w:type="dxa"/>
          </w:tcPr>
          <w:p w14:paraId="3A65DAF1" w14:textId="150BE819"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47.784.477/0001-79</w:t>
            </w:r>
          </w:p>
        </w:tc>
      </w:tr>
      <w:tr w:rsidR="00B85ADF" w:rsidRPr="00A74CFA" w14:paraId="748130ED" w14:textId="77777777" w:rsidTr="00B85ADF">
        <w:tc>
          <w:tcPr>
            <w:tcW w:w="4957" w:type="dxa"/>
          </w:tcPr>
          <w:p w14:paraId="71296221" w14:textId="6173F73A"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Justiça Federal de Primeiro Grau em Minas Gerais</w:t>
            </w:r>
          </w:p>
        </w:tc>
        <w:tc>
          <w:tcPr>
            <w:tcW w:w="1272" w:type="dxa"/>
          </w:tcPr>
          <w:p w14:paraId="5BA67B41" w14:textId="256E4716"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SJMG</w:t>
            </w:r>
          </w:p>
        </w:tc>
        <w:tc>
          <w:tcPr>
            <w:tcW w:w="3115" w:type="dxa"/>
          </w:tcPr>
          <w:p w14:paraId="1CD362C7" w14:textId="245DD56A"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05.452.786/0001-00</w:t>
            </w:r>
          </w:p>
        </w:tc>
      </w:tr>
      <w:tr w:rsidR="00B85ADF" w:rsidRPr="00A74CFA" w14:paraId="60CE92EB" w14:textId="77777777" w:rsidTr="00B85ADF">
        <w:tc>
          <w:tcPr>
            <w:tcW w:w="9344" w:type="dxa"/>
            <w:gridSpan w:val="3"/>
            <w:shd w:val="clear" w:color="auto" w:fill="D9D9D9" w:themeFill="background1" w:themeFillShade="D9"/>
          </w:tcPr>
          <w:p w14:paraId="5C2A60C0" w14:textId="73537A3B"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sz w:val="20"/>
                <w:szCs w:val="20"/>
                <w:lang w:eastAsia="pt-BR"/>
              </w:rPr>
              <w:t>INFORMAÇÕES DE NATUREZA CONTÁBIL DA ENTIDADE</w:t>
            </w:r>
          </w:p>
        </w:tc>
      </w:tr>
      <w:tr w:rsidR="00B85ADF" w:rsidRPr="00A74CFA" w14:paraId="52BC270C" w14:textId="77777777" w:rsidTr="003D4CF1">
        <w:tc>
          <w:tcPr>
            <w:tcW w:w="9344" w:type="dxa"/>
            <w:gridSpan w:val="3"/>
          </w:tcPr>
          <w:p w14:paraId="46974E51" w14:textId="77777777" w:rsidR="00B85ADF" w:rsidRPr="00A74CFA" w:rsidRDefault="00B85ADF" w:rsidP="00B85ADF">
            <w:pPr>
              <w:ind w:right="60" w:firstLine="0"/>
              <w:jc w:val="both"/>
              <w:rPr>
                <w:rFonts w:ascii="Times New Roman" w:eastAsia="Times New Roman" w:hAnsi="Times New Roman" w:cs="Times New Roman"/>
                <w:color w:val="000000"/>
                <w:sz w:val="20"/>
                <w:szCs w:val="20"/>
                <w:lang w:eastAsia="pt-BR"/>
              </w:rPr>
            </w:pPr>
            <w:r w:rsidRPr="00A74CFA">
              <w:rPr>
                <w:rFonts w:ascii="Times New Roman" w:eastAsia="Times New Roman" w:hAnsi="Times New Roman" w:cs="Times New Roman"/>
                <w:b/>
                <w:bCs/>
                <w:color w:val="000000"/>
                <w:sz w:val="20"/>
                <w:szCs w:val="20"/>
                <w:lang w:eastAsia="pt-BR"/>
              </w:rPr>
              <w:t>A entidade é representada no SIAFI por:</w:t>
            </w:r>
          </w:p>
          <w:p w14:paraId="1E4185F1" w14:textId="35A44FF8" w:rsidR="00B85ADF" w:rsidRPr="00A74CFA" w:rsidRDefault="00B85ADF" w:rsidP="00B85ADF">
            <w:pPr>
              <w:ind w:right="120" w:firstLine="0"/>
              <w:rPr>
                <w:rFonts w:ascii="Times New Roman" w:eastAsia="Times New Roman" w:hAnsi="Times New Roman" w:cs="Times New Roman"/>
                <w:sz w:val="20"/>
                <w:szCs w:val="20"/>
                <w:lang w:eastAsia="pt-BR"/>
              </w:rPr>
            </w:pPr>
            <w:proofErr w:type="gramStart"/>
            <w:r w:rsidRPr="00A74CFA">
              <w:rPr>
                <w:rFonts w:ascii="Times New Roman" w:eastAsia="Times New Roman" w:hAnsi="Times New Roman" w:cs="Times New Roman"/>
                <w:color w:val="000000"/>
                <w:sz w:val="20"/>
                <w:szCs w:val="20"/>
                <w:lang w:eastAsia="pt-BR"/>
              </w:rPr>
              <w:t>( )</w:t>
            </w:r>
            <w:proofErr w:type="gramEnd"/>
            <w:r w:rsidRPr="00A74CFA">
              <w:rPr>
                <w:rFonts w:ascii="Times New Roman" w:eastAsia="Times New Roman" w:hAnsi="Times New Roman" w:cs="Times New Roman"/>
                <w:color w:val="000000"/>
                <w:sz w:val="20"/>
                <w:szCs w:val="20"/>
                <w:lang w:eastAsia="pt-BR"/>
              </w:rPr>
              <w:t xml:space="preserve"> Órgão </w:t>
            </w:r>
            <w:proofErr w:type="gramStart"/>
            <w:r w:rsidRPr="00A74CFA">
              <w:rPr>
                <w:rFonts w:ascii="Times New Roman" w:eastAsia="Times New Roman" w:hAnsi="Times New Roman" w:cs="Times New Roman"/>
                <w:color w:val="000000"/>
                <w:sz w:val="20"/>
                <w:szCs w:val="20"/>
                <w:lang w:eastAsia="pt-BR"/>
              </w:rPr>
              <w:t>( X</w:t>
            </w:r>
            <w:proofErr w:type="gramEnd"/>
            <w:r w:rsidRPr="00A74CFA">
              <w:rPr>
                <w:rFonts w:ascii="Times New Roman" w:eastAsia="Times New Roman" w:hAnsi="Times New Roman" w:cs="Times New Roman"/>
                <w:color w:val="000000"/>
                <w:sz w:val="20"/>
                <w:szCs w:val="20"/>
                <w:lang w:eastAsia="pt-BR"/>
              </w:rPr>
              <w:t xml:space="preserve"> ) Agrupamento - </w:t>
            </w:r>
            <w:r w:rsidRPr="00A74CFA">
              <w:rPr>
                <w:rFonts w:ascii="Times New Roman" w:eastAsia="Times New Roman" w:hAnsi="Times New Roman" w:cs="Times New Roman"/>
                <w:b/>
                <w:bCs/>
                <w:color w:val="000000"/>
                <w:sz w:val="20"/>
                <w:szCs w:val="20"/>
                <w:lang w:eastAsia="pt-BR"/>
              </w:rPr>
              <w:t>UG 503</w:t>
            </w:r>
            <w:r w:rsidRPr="00A74CFA">
              <w:rPr>
                <w:rFonts w:ascii="Times New Roman" w:eastAsia="Times New Roman" w:hAnsi="Times New Roman" w:cs="Times New Roman"/>
                <w:color w:val="000000"/>
                <w:sz w:val="20"/>
                <w:szCs w:val="20"/>
                <w:lang w:eastAsia="pt-BR"/>
              </w:rPr>
              <w:t xml:space="preserve"> </w:t>
            </w:r>
            <w:proofErr w:type="gramStart"/>
            <w:r w:rsidRPr="00A74CFA">
              <w:rPr>
                <w:rFonts w:ascii="Times New Roman" w:eastAsia="Times New Roman" w:hAnsi="Times New Roman" w:cs="Times New Roman"/>
                <w:color w:val="000000"/>
                <w:sz w:val="20"/>
                <w:szCs w:val="20"/>
                <w:lang w:eastAsia="pt-BR"/>
              </w:rPr>
              <w:t>( )</w:t>
            </w:r>
            <w:proofErr w:type="gramEnd"/>
            <w:r w:rsidRPr="00A74CFA">
              <w:rPr>
                <w:rFonts w:ascii="Times New Roman" w:eastAsia="Times New Roman" w:hAnsi="Times New Roman" w:cs="Times New Roman"/>
                <w:color w:val="000000"/>
                <w:sz w:val="20"/>
                <w:szCs w:val="20"/>
                <w:lang w:eastAsia="pt-BR"/>
              </w:rPr>
              <w:t xml:space="preserve"> Sub órgão </w:t>
            </w:r>
            <w:proofErr w:type="gramStart"/>
            <w:r w:rsidRPr="00A74CFA">
              <w:rPr>
                <w:rFonts w:ascii="Times New Roman" w:eastAsia="Times New Roman" w:hAnsi="Times New Roman" w:cs="Times New Roman"/>
                <w:color w:val="000000"/>
                <w:sz w:val="20"/>
                <w:szCs w:val="20"/>
                <w:lang w:eastAsia="pt-BR"/>
              </w:rPr>
              <w:t>( )</w:t>
            </w:r>
            <w:proofErr w:type="gramEnd"/>
            <w:r w:rsidRPr="00A74CFA">
              <w:rPr>
                <w:rFonts w:ascii="Times New Roman" w:eastAsia="Times New Roman" w:hAnsi="Times New Roman" w:cs="Times New Roman"/>
                <w:color w:val="000000"/>
                <w:sz w:val="20"/>
                <w:szCs w:val="20"/>
                <w:lang w:eastAsia="pt-BR"/>
              </w:rPr>
              <w:t xml:space="preserve"> Grupo</w:t>
            </w:r>
          </w:p>
        </w:tc>
      </w:tr>
      <w:tr w:rsidR="00B85ADF" w:rsidRPr="00A74CFA" w14:paraId="5DD4CE89" w14:textId="77777777" w:rsidTr="003D2F94">
        <w:tc>
          <w:tcPr>
            <w:tcW w:w="9344" w:type="dxa"/>
            <w:gridSpan w:val="3"/>
          </w:tcPr>
          <w:p w14:paraId="45761372" w14:textId="4D2854ED"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color w:val="000000"/>
                <w:sz w:val="20"/>
                <w:szCs w:val="20"/>
                <w:lang w:eastAsia="pt-BR"/>
              </w:rPr>
              <w:t>Unidades orçamentárias:</w:t>
            </w:r>
            <w:r w:rsidRPr="00A74CFA">
              <w:rPr>
                <w:rFonts w:ascii="Times New Roman" w:eastAsia="Times New Roman" w:hAnsi="Times New Roman" w:cs="Times New Roman"/>
                <w:color w:val="000000"/>
                <w:sz w:val="20"/>
                <w:szCs w:val="20"/>
                <w:lang w:eastAsia="pt-BR"/>
              </w:rPr>
              <w:t xml:space="preserve"> 12101 e 12107</w:t>
            </w:r>
          </w:p>
        </w:tc>
      </w:tr>
      <w:tr w:rsidR="00B85ADF" w:rsidRPr="00A74CFA" w14:paraId="6FC8AD47" w14:textId="77777777" w:rsidTr="001C54F2">
        <w:tc>
          <w:tcPr>
            <w:tcW w:w="9344" w:type="dxa"/>
            <w:gridSpan w:val="3"/>
          </w:tcPr>
          <w:p w14:paraId="10BAF7FF" w14:textId="1ADAD2DC"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color w:val="000000"/>
                <w:sz w:val="20"/>
                <w:szCs w:val="20"/>
                <w:lang w:eastAsia="pt-BR"/>
              </w:rPr>
              <w:t>Unidades gestoras pertencentes à entidade (</w:t>
            </w:r>
            <w:proofErr w:type="spellStart"/>
            <w:r w:rsidRPr="00A74CFA">
              <w:rPr>
                <w:rFonts w:ascii="Times New Roman" w:eastAsia="Times New Roman" w:hAnsi="Times New Roman" w:cs="Times New Roman"/>
                <w:b/>
                <w:bCs/>
                <w:color w:val="000000"/>
                <w:sz w:val="20"/>
                <w:szCs w:val="20"/>
                <w:lang w:eastAsia="pt-BR"/>
              </w:rPr>
              <w:t>UG's</w:t>
            </w:r>
            <w:proofErr w:type="spellEnd"/>
            <w:r w:rsidRPr="00A74CFA">
              <w:rPr>
                <w:rFonts w:ascii="Times New Roman" w:eastAsia="Times New Roman" w:hAnsi="Times New Roman" w:cs="Times New Roman"/>
                <w:b/>
                <w:bCs/>
                <w:color w:val="000000"/>
                <w:sz w:val="20"/>
                <w:szCs w:val="20"/>
                <w:lang w:eastAsia="pt-BR"/>
              </w:rPr>
              <w:t>):</w:t>
            </w:r>
          </w:p>
        </w:tc>
      </w:tr>
      <w:tr w:rsidR="00B85ADF" w:rsidRPr="00A74CFA" w14:paraId="0BDD085E" w14:textId="77777777" w:rsidTr="00E24CD1">
        <w:tc>
          <w:tcPr>
            <w:tcW w:w="9344" w:type="dxa"/>
            <w:gridSpan w:val="3"/>
          </w:tcPr>
          <w:p w14:paraId="2F633460" w14:textId="16F6A140"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090058 - TRF6 - Orçamentária</w:t>
            </w:r>
          </w:p>
        </w:tc>
      </w:tr>
      <w:tr w:rsidR="00B85ADF" w:rsidRPr="00A74CFA" w14:paraId="77204AD1" w14:textId="77777777" w:rsidTr="00747446">
        <w:tc>
          <w:tcPr>
            <w:tcW w:w="9344" w:type="dxa"/>
            <w:gridSpan w:val="3"/>
          </w:tcPr>
          <w:p w14:paraId="310A670E" w14:textId="23B75095"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090059 - TRF6 - Executora</w:t>
            </w:r>
          </w:p>
        </w:tc>
      </w:tr>
      <w:tr w:rsidR="00B85ADF" w:rsidRPr="00A74CFA" w14:paraId="134B40C9" w14:textId="77777777" w:rsidTr="00240D69">
        <w:tc>
          <w:tcPr>
            <w:tcW w:w="9344" w:type="dxa"/>
            <w:gridSpan w:val="3"/>
          </w:tcPr>
          <w:p w14:paraId="3DAF909A" w14:textId="6761203F"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090060 - TRF6 - Precatórios/RPV</w:t>
            </w:r>
          </w:p>
        </w:tc>
      </w:tr>
      <w:tr w:rsidR="00B85ADF" w:rsidRPr="00A74CFA" w14:paraId="2DFA5980" w14:textId="77777777" w:rsidTr="00217FE7">
        <w:tc>
          <w:tcPr>
            <w:tcW w:w="9344" w:type="dxa"/>
            <w:gridSpan w:val="3"/>
          </w:tcPr>
          <w:p w14:paraId="2FDF8B93" w14:textId="720F4E61"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090061 - TRF6 - EMAGIS</w:t>
            </w:r>
          </w:p>
        </w:tc>
      </w:tr>
      <w:tr w:rsidR="00B85ADF" w:rsidRPr="00A74CFA" w14:paraId="21D8BD41" w14:textId="77777777" w:rsidTr="00280C1B">
        <w:tc>
          <w:tcPr>
            <w:tcW w:w="9344" w:type="dxa"/>
            <w:gridSpan w:val="3"/>
          </w:tcPr>
          <w:p w14:paraId="15DEDD33" w14:textId="293897E7"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color w:val="000000"/>
                <w:sz w:val="20"/>
                <w:szCs w:val="20"/>
                <w:lang w:eastAsia="pt-BR"/>
              </w:rPr>
              <w:t>090013 - Seção Judiciária de Minas Gerais – SJMG</w:t>
            </w:r>
          </w:p>
        </w:tc>
      </w:tr>
      <w:tr w:rsidR="00B85ADF" w:rsidRPr="00A74CFA" w14:paraId="44B302B9" w14:textId="77777777" w:rsidTr="00B85ADF">
        <w:tc>
          <w:tcPr>
            <w:tcW w:w="9344" w:type="dxa"/>
            <w:gridSpan w:val="3"/>
            <w:shd w:val="clear" w:color="auto" w:fill="D9D9D9" w:themeFill="background1" w:themeFillShade="D9"/>
          </w:tcPr>
          <w:p w14:paraId="3E6BB2B1" w14:textId="206E4133" w:rsidR="00B85ADF" w:rsidRPr="00A74CFA" w:rsidRDefault="00B85ADF" w:rsidP="00B85ADF">
            <w:pPr>
              <w:ind w:right="12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sz w:val="20"/>
                <w:szCs w:val="20"/>
                <w:lang w:eastAsia="pt-BR"/>
              </w:rPr>
              <w:t>ORDENADORES DA DESPESA E CONTADOR RESPONSÁVEIS PELO ÓRGÃO:</w:t>
            </w:r>
          </w:p>
        </w:tc>
      </w:tr>
      <w:tr w:rsidR="00B85ADF" w:rsidRPr="00A74CFA" w14:paraId="681DE2D2" w14:textId="77777777" w:rsidTr="00F068E3">
        <w:tc>
          <w:tcPr>
            <w:tcW w:w="9344" w:type="dxa"/>
            <w:gridSpan w:val="3"/>
          </w:tcPr>
          <w:p w14:paraId="6377CCB6" w14:textId="77777777" w:rsidR="001016DC" w:rsidRPr="00A74CFA" w:rsidRDefault="00B85ADF" w:rsidP="001016DC">
            <w:pPr>
              <w:ind w:right="60" w:firstLine="0"/>
              <w:rPr>
                <w:rFonts w:ascii="Times New Roman" w:eastAsia="Times New Roman" w:hAnsi="Times New Roman" w:cs="Times New Roman"/>
                <w:b/>
                <w:bCs/>
                <w:color w:val="000000"/>
                <w:sz w:val="20"/>
                <w:szCs w:val="20"/>
                <w:u w:val="single"/>
                <w:lang w:eastAsia="pt-BR"/>
              </w:rPr>
            </w:pPr>
            <w:r w:rsidRPr="00A74CFA">
              <w:rPr>
                <w:rFonts w:ascii="Times New Roman" w:eastAsia="Times New Roman" w:hAnsi="Times New Roman" w:cs="Times New Roman"/>
                <w:b/>
                <w:bCs/>
                <w:color w:val="000000"/>
                <w:sz w:val="20"/>
                <w:szCs w:val="20"/>
                <w:u w:val="single"/>
                <w:lang w:eastAsia="pt-BR"/>
              </w:rPr>
              <w:t>TRF da 6ª Região:</w:t>
            </w:r>
          </w:p>
          <w:p w14:paraId="73C41BF9" w14:textId="2897FB14" w:rsidR="001016DC" w:rsidRPr="00A74CFA" w:rsidRDefault="00B85ADF" w:rsidP="001016DC">
            <w:pPr>
              <w:ind w:right="60" w:firstLine="0"/>
              <w:rPr>
                <w:rFonts w:ascii="Times New Roman" w:eastAsia="Times New Roman" w:hAnsi="Times New Roman" w:cs="Times New Roman"/>
                <w:color w:val="000000"/>
                <w:sz w:val="20"/>
                <w:szCs w:val="20"/>
                <w:lang w:eastAsia="pt-BR"/>
              </w:rPr>
            </w:pPr>
            <w:r w:rsidRPr="00A74CFA">
              <w:rPr>
                <w:rFonts w:ascii="Times New Roman" w:eastAsia="Times New Roman" w:hAnsi="Times New Roman" w:cs="Times New Roman"/>
                <w:color w:val="000000"/>
                <w:sz w:val="20"/>
                <w:szCs w:val="20"/>
                <w:lang w:eastAsia="pt-BR"/>
              </w:rPr>
              <w:t xml:space="preserve">Presidente: </w:t>
            </w:r>
            <w:proofErr w:type="spellStart"/>
            <w:r w:rsidRPr="00A74CFA">
              <w:rPr>
                <w:rFonts w:ascii="Times New Roman" w:hAnsi="Times New Roman" w:cs="Times New Roman"/>
                <w:color w:val="000000"/>
                <w:sz w:val="20"/>
                <w:szCs w:val="20"/>
              </w:rPr>
              <w:t>Vallisney</w:t>
            </w:r>
            <w:proofErr w:type="spellEnd"/>
            <w:r w:rsidRPr="00A74CFA">
              <w:rPr>
                <w:rFonts w:ascii="Times New Roman" w:hAnsi="Times New Roman" w:cs="Times New Roman"/>
                <w:color w:val="000000"/>
                <w:sz w:val="20"/>
                <w:szCs w:val="20"/>
              </w:rPr>
              <w:t xml:space="preserve"> de Souza Oliveira</w:t>
            </w:r>
            <w:r w:rsidRPr="00A74CFA">
              <w:rPr>
                <w:rFonts w:ascii="Times New Roman" w:eastAsia="Times New Roman" w:hAnsi="Times New Roman" w:cs="Times New Roman"/>
                <w:color w:val="000000"/>
                <w:sz w:val="20"/>
                <w:szCs w:val="20"/>
                <w:lang w:eastAsia="pt-BR"/>
              </w:rPr>
              <w:t xml:space="preserve"> - </w:t>
            </w:r>
            <w:r w:rsidRPr="00A74CFA">
              <w:rPr>
                <w:rFonts w:ascii="Times New Roman" w:hAnsi="Times New Roman" w:cs="Times New Roman"/>
                <w:color w:val="000000"/>
                <w:sz w:val="20"/>
                <w:szCs w:val="20"/>
              </w:rPr>
              <w:t>Termo de Posse </w:t>
            </w:r>
            <w:r w:rsidRPr="00B7185F">
              <w:rPr>
                <w:rFonts w:ascii="Times New Roman" w:hAnsi="Times New Roman" w:cs="Times New Roman"/>
                <w:sz w:val="20"/>
                <w:szCs w:val="20"/>
              </w:rPr>
              <w:t>0906122</w:t>
            </w:r>
            <w:r w:rsidRPr="00A74CFA">
              <w:rPr>
                <w:rFonts w:ascii="Times New Roman" w:hAnsi="Times New Roman" w:cs="Times New Roman"/>
                <w:color w:val="000000"/>
                <w:sz w:val="20"/>
                <w:szCs w:val="20"/>
              </w:rPr>
              <w:t xml:space="preserve">, Certidão de Julgamento </w:t>
            </w:r>
            <w:r w:rsidRPr="00B7185F">
              <w:rPr>
                <w:rFonts w:ascii="Times New Roman" w:hAnsi="Times New Roman" w:cs="Times New Roman"/>
                <w:sz w:val="20"/>
                <w:szCs w:val="20"/>
              </w:rPr>
              <w:t>0821111</w:t>
            </w:r>
            <w:r w:rsidRPr="00A74CFA">
              <w:rPr>
                <w:rFonts w:ascii="Times New Roman" w:hAnsi="Times New Roman" w:cs="Times New Roman"/>
                <w:sz w:val="20"/>
                <w:szCs w:val="20"/>
              </w:rPr>
              <w:t xml:space="preserve">, </w:t>
            </w:r>
            <w:r w:rsidRPr="00A74CFA">
              <w:rPr>
                <w:rFonts w:ascii="Times New Roman" w:eastAsia="Times New Roman" w:hAnsi="Times New Roman" w:cs="Times New Roman"/>
                <w:color w:val="000000"/>
                <w:sz w:val="20"/>
                <w:szCs w:val="20"/>
                <w:lang w:eastAsia="pt-BR"/>
              </w:rPr>
              <w:t>publicado em 26/06/2024</w:t>
            </w:r>
          </w:p>
          <w:p w14:paraId="101A2E0F" w14:textId="77777777" w:rsidR="001016DC" w:rsidRPr="00A74CFA" w:rsidRDefault="00B85ADF" w:rsidP="001016DC">
            <w:pPr>
              <w:ind w:right="60" w:firstLine="0"/>
              <w:rPr>
                <w:rFonts w:ascii="Times New Roman" w:eastAsia="Times New Roman" w:hAnsi="Times New Roman" w:cs="Times New Roman"/>
                <w:color w:val="000000"/>
                <w:sz w:val="20"/>
                <w:szCs w:val="20"/>
                <w:lang w:eastAsia="pt-BR"/>
              </w:rPr>
            </w:pPr>
            <w:r w:rsidRPr="00A74CFA">
              <w:rPr>
                <w:rFonts w:ascii="Times New Roman" w:eastAsia="Times New Roman" w:hAnsi="Times New Roman" w:cs="Times New Roman"/>
                <w:b/>
                <w:color w:val="000000"/>
                <w:sz w:val="20"/>
                <w:szCs w:val="20"/>
                <w:lang w:eastAsia="pt-BR"/>
              </w:rPr>
              <w:t>Telefone de contato</w:t>
            </w:r>
            <w:r w:rsidRPr="00A74CFA">
              <w:rPr>
                <w:rFonts w:ascii="Times New Roman" w:eastAsia="Times New Roman" w:hAnsi="Times New Roman" w:cs="Times New Roman"/>
                <w:color w:val="000000"/>
                <w:sz w:val="20"/>
                <w:szCs w:val="20"/>
                <w:lang w:eastAsia="pt-BR"/>
              </w:rPr>
              <w:t>: (31) 3501-1095</w:t>
            </w:r>
          </w:p>
          <w:p w14:paraId="6F0A7E0D" w14:textId="3572B3CA" w:rsidR="001016DC" w:rsidRPr="00A74CFA" w:rsidRDefault="00B85ADF" w:rsidP="001016DC">
            <w:pPr>
              <w:ind w:right="60" w:firstLine="0"/>
              <w:rPr>
                <w:rFonts w:ascii="Times New Roman" w:eastAsia="Times New Roman" w:hAnsi="Times New Roman" w:cs="Times New Roman"/>
                <w:sz w:val="20"/>
                <w:szCs w:val="20"/>
                <w:lang w:eastAsia="pt-BR"/>
              </w:rPr>
            </w:pPr>
            <w:r w:rsidRPr="00A74CFA">
              <w:rPr>
                <w:rFonts w:ascii="Times New Roman" w:eastAsia="Times New Roman" w:hAnsi="Times New Roman" w:cs="Times New Roman"/>
                <w:b/>
                <w:bCs/>
                <w:color w:val="000000"/>
                <w:sz w:val="20"/>
                <w:szCs w:val="20"/>
                <w:lang w:eastAsia="pt-BR"/>
              </w:rPr>
              <w:t xml:space="preserve">E-mail institucional: </w:t>
            </w:r>
            <w:r w:rsidR="001016DC" w:rsidRPr="00FF25C7">
              <w:rPr>
                <w:rFonts w:ascii="Times New Roman" w:eastAsia="Times New Roman" w:hAnsi="Times New Roman" w:cs="Times New Roman"/>
                <w:sz w:val="20"/>
                <w:szCs w:val="20"/>
                <w:lang w:eastAsia="pt-BR"/>
              </w:rPr>
              <w:t>presidencia@trf6.jus.br</w:t>
            </w:r>
          </w:p>
          <w:p w14:paraId="2E8E93FD" w14:textId="77777777" w:rsidR="00383EDF" w:rsidRDefault="00383EDF" w:rsidP="001016DC">
            <w:pPr>
              <w:ind w:right="60" w:firstLine="0"/>
              <w:rPr>
                <w:rFonts w:ascii="Times New Roman" w:eastAsia="Times New Roman" w:hAnsi="Times New Roman" w:cs="Times New Roman"/>
                <w:b/>
                <w:bCs/>
                <w:color w:val="000000"/>
                <w:sz w:val="20"/>
                <w:szCs w:val="20"/>
                <w:u w:val="single"/>
                <w:lang w:eastAsia="pt-BR"/>
              </w:rPr>
            </w:pPr>
          </w:p>
          <w:p w14:paraId="48CB6CB3" w14:textId="29F4C74D" w:rsidR="001016DC" w:rsidRPr="00A74CFA" w:rsidRDefault="00B85ADF" w:rsidP="001016DC">
            <w:pPr>
              <w:ind w:right="60" w:firstLine="0"/>
              <w:rPr>
                <w:rFonts w:ascii="Times New Roman" w:eastAsia="Times New Roman" w:hAnsi="Times New Roman" w:cs="Times New Roman"/>
                <w:b/>
                <w:bCs/>
                <w:color w:val="000000"/>
                <w:sz w:val="20"/>
                <w:szCs w:val="20"/>
                <w:u w:val="single"/>
                <w:lang w:eastAsia="pt-BR"/>
              </w:rPr>
            </w:pPr>
            <w:r w:rsidRPr="00A74CFA">
              <w:rPr>
                <w:rFonts w:ascii="Times New Roman" w:eastAsia="Times New Roman" w:hAnsi="Times New Roman" w:cs="Times New Roman"/>
                <w:b/>
                <w:bCs/>
                <w:color w:val="000000"/>
                <w:sz w:val="20"/>
                <w:szCs w:val="20"/>
                <w:u w:val="single"/>
                <w:lang w:eastAsia="pt-BR"/>
              </w:rPr>
              <w:t>Seção Judiciária de Minas Gerais - SJMG:</w:t>
            </w:r>
          </w:p>
          <w:p w14:paraId="2264114F" w14:textId="686D0FD4" w:rsidR="001016DC" w:rsidRPr="00A74CFA" w:rsidRDefault="00B85ADF" w:rsidP="001016DC">
            <w:pPr>
              <w:ind w:right="60" w:firstLine="0"/>
              <w:rPr>
                <w:rFonts w:ascii="Times New Roman" w:eastAsia="Times New Roman" w:hAnsi="Times New Roman" w:cs="Times New Roman"/>
                <w:color w:val="000000"/>
                <w:sz w:val="20"/>
                <w:szCs w:val="20"/>
                <w:lang w:eastAsia="pt-BR"/>
              </w:rPr>
            </w:pPr>
            <w:r w:rsidRPr="00A74CFA">
              <w:rPr>
                <w:rFonts w:ascii="Times New Roman" w:eastAsia="Times New Roman" w:hAnsi="Times New Roman" w:cs="Times New Roman"/>
                <w:color w:val="000000"/>
                <w:sz w:val="20"/>
                <w:szCs w:val="20"/>
                <w:lang w:eastAsia="pt-BR"/>
              </w:rPr>
              <w:t>Diretor do Foro: José Carlos Machado Junior - Portaria PRESI 223/2024 (id.</w:t>
            </w:r>
            <w:r w:rsidRPr="00A74CFA">
              <w:rPr>
                <w:rFonts w:ascii="Times New Roman" w:hAnsi="Times New Roman" w:cs="Times New Roman"/>
                <w:sz w:val="20"/>
                <w:szCs w:val="20"/>
              </w:rPr>
              <w:t xml:space="preserve"> </w:t>
            </w:r>
            <w:r w:rsidRPr="00B7185F">
              <w:rPr>
                <w:rFonts w:ascii="Times New Roman" w:hAnsi="Times New Roman" w:cs="Times New Roman"/>
                <w:sz w:val="20"/>
                <w:szCs w:val="20"/>
              </w:rPr>
              <w:t>0945072</w:t>
            </w:r>
            <w:r w:rsidRPr="00A74CFA">
              <w:rPr>
                <w:rFonts w:ascii="Times New Roman" w:eastAsia="Times New Roman" w:hAnsi="Times New Roman" w:cs="Times New Roman"/>
                <w:color w:val="000000"/>
                <w:sz w:val="20"/>
                <w:szCs w:val="20"/>
                <w:lang w:eastAsia="pt-BR"/>
              </w:rPr>
              <w:t>), publicada em 30/09/2024</w:t>
            </w:r>
          </w:p>
          <w:p w14:paraId="5D4E63DE" w14:textId="77777777" w:rsidR="001016DC" w:rsidRPr="00A74CFA" w:rsidRDefault="00B85ADF" w:rsidP="001016DC">
            <w:pPr>
              <w:ind w:right="60" w:firstLine="0"/>
              <w:rPr>
                <w:rFonts w:ascii="Times New Roman" w:eastAsia="Times New Roman" w:hAnsi="Times New Roman" w:cs="Times New Roman"/>
                <w:color w:val="000000"/>
                <w:sz w:val="20"/>
                <w:szCs w:val="20"/>
                <w:lang w:eastAsia="pt-BR"/>
              </w:rPr>
            </w:pPr>
            <w:r w:rsidRPr="00A74CFA">
              <w:rPr>
                <w:rFonts w:ascii="Times New Roman" w:eastAsia="Times New Roman" w:hAnsi="Times New Roman" w:cs="Times New Roman"/>
                <w:b/>
                <w:bCs/>
                <w:color w:val="000000"/>
                <w:sz w:val="20"/>
                <w:szCs w:val="20"/>
                <w:lang w:eastAsia="pt-BR"/>
              </w:rPr>
              <w:t>Telefone de contato:</w:t>
            </w:r>
            <w:r w:rsidRPr="00A74CFA">
              <w:rPr>
                <w:rFonts w:ascii="Times New Roman" w:eastAsia="Times New Roman" w:hAnsi="Times New Roman" w:cs="Times New Roman"/>
                <w:color w:val="000000"/>
                <w:sz w:val="20"/>
                <w:szCs w:val="20"/>
                <w:lang w:eastAsia="pt-BR"/>
              </w:rPr>
              <w:t xml:space="preserve"> (31) 3501-1398/1352/1110</w:t>
            </w:r>
          </w:p>
          <w:p w14:paraId="4BE879B0" w14:textId="0F9E0C44" w:rsidR="001016DC" w:rsidRPr="00A74CFA" w:rsidRDefault="00B85ADF" w:rsidP="001016DC">
            <w:pPr>
              <w:ind w:right="60" w:firstLine="0"/>
              <w:rPr>
                <w:rFonts w:ascii="Times New Roman" w:eastAsia="Times New Roman" w:hAnsi="Times New Roman" w:cs="Times New Roman"/>
                <w:color w:val="000000"/>
                <w:sz w:val="20"/>
                <w:szCs w:val="20"/>
                <w:lang w:eastAsia="pt-BR"/>
              </w:rPr>
            </w:pPr>
            <w:r w:rsidRPr="00A74CFA">
              <w:rPr>
                <w:rFonts w:ascii="Times New Roman" w:eastAsia="Times New Roman" w:hAnsi="Times New Roman" w:cs="Times New Roman"/>
                <w:b/>
                <w:bCs/>
                <w:color w:val="000000"/>
                <w:sz w:val="20"/>
                <w:szCs w:val="20"/>
                <w:lang w:eastAsia="pt-BR"/>
              </w:rPr>
              <w:t>E-mail institucional:</w:t>
            </w:r>
            <w:r w:rsidRPr="00A74CFA">
              <w:rPr>
                <w:rFonts w:ascii="Times New Roman" w:eastAsia="Times New Roman" w:hAnsi="Times New Roman" w:cs="Times New Roman"/>
                <w:color w:val="000000"/>
                <w:sz w:val="20"/>
                <w:szCs w:val="20"/>
                <w:lang w:eastAsia="pt-BR"/>
              </w:rPr>
              <w:t xml:space="preserve"> </w:t>
            </w:r>
            <w:r w:rsidR="001016DC" w:rsidRPr="00FF25C7">
              <w:rPr>
                <w:rFonts w:ascii="Times New Roman" w:eastAsia="Times New Roman" w:hAnsi="Times New Roman" w:cs="Times New Roman"/>
                <w:sz w:val="20"/>
                <w:szCs w:val="20"/>
                <w:lang w:eastAsia="pt-BR"/>
              </w:rPr>
              <w:t>diref.mg@trf6.jus.br</w:t>
            </w:r>
          </w:p>
          <w:p w14:paraId="1791F777" w14:textId="77777777" w:rsidR="001016DC" w:rsidRPr="00A74CFA" w:rsidRDefault="001016DC" w:rsidP="001016DC">
            <w:pPr>
              <w:ind w:right="60" w:firstLine="0"/>
              <w:rPr>
                <w:rFonts w:ascii="Times New Roman" w:eastAsia="Times New Roman" w:hAnsi="Times New Roman" w:cs="Times New Roman"/>
                <w:b/>
                <w:bCs/>
                <w:color w:val="000000"/>
                <w:sz w:val="20"/>
                <w:szCs w:val="20"/>
                <w:lang w:eastAsia="pt-BR"/>
              </w:rPr>
            </w:pPr>
          </w:p>
          <w:p w14:paraId="047FC6AE" w14:textId="77777777" w:rsidR="001016DC" w:rsidRPr="00A74CFA" w:rsidRDefault="00B85ADF" w:rsidP="001016DC">
            <w:pPr>
              <w:ind w:right="60" w:firstLine="0"/>
              <w:rPr>
                <w:rFonts w:ascii="Times New Roman" w:eastAsia="Times New Roman" w:hAnsi="Times New Roman" w:cs="Times New Roman"/>
                <w:color w:val="000000"/>
                <w:sz w:val="20"/>
                <w:szCs w:val="20"/>
                <w:lang w:eastAsia="pt-BR"/>
              </w:rPr>
            </w:pPr>
            <w:r w:rsidRPr="00A74CFA">
              <w:rPr>
                <w:rFonts w:ascii="Times New Roman" w:eastAsia="Times New Roman" w:hAnsi="Times New Roman" w:cs="Times New Roman"/>
                <w:b/>
                <w:bCs/>
                <w:color w:val="000000"/>
                <w:sz w:val="20"/>
                <w:szCs w:val="20"/>
                <w:lang w:eastAsia="pt-BR"/>
              </w:rPr>
              <w:t>Contadora Responsável:</w:t>
            </w:r>
            <w:r w:rsidRPr="00A74CFA">
              <w:rPr>
                <w:rFonts w:ascii="Times New Roman" w:eastAsia="Times New Roman" w:hAnsi="Times New Roman" w:cs="Times New Roman"/>
                <w:color w:val="000000"/>
                <w:sz w:val="20"/>
                <w:szCs w:val="20"/>
                <w:lang w:eastAsia="pt-BR"/>
              </w:rPr>
              <w:t xml:space="preserve"> </w:t>
            </w:r>
            <w:r w:rsidRPr="00A74CFA">
              <w:rPr>
                <w:rFonts w:ascii="Times New Roman" w:hAnsi="Times New Roman" w:cs="Times New Roman"/>
                <w:color w:val="000000"/>
                <w:sz w:val="20"/>
                <w:szCs w:val="20"/>
              </w:rPr>
              <w:t>Luiza Fontoura Ribeiro</w:t>
            </w:r>
            <w:r w:rsidRPr="00A74CFA">
              <w:rPr>
                <w:rFonts w:ascii="Times New Roman" w:eastAsia="Times New Roman" w:hAnsi="Times New Roman" w:cs="Times New Roman"/>
                <w:color w:val="000000"/>
                <w:sz w:val="20"/>
                <w:szCs w:val="20"/>
                <w:lang w:eastAsia="pt-BR"/>
              </w:rPr>
              <w:t xml:space="preserve"> (CRC MG - </w:t>
            </w:r>
            <w:r w:rsidRPr="00A74CFA">
              <w:rPr>
                <w:rFonts w:ascii="Times New Roman" w:hAnsi="Times New Roman" w:cs="Times New Roman"/>
                <w:color w:val="000000"/>
                <w:sz w:val="20"/>
                <w:szCs w:val="20"/>
              </w:rPr>
              <w:t>096903/O-2</w:t>
            </w:r>
            <w:r w:rsidRPr="00A74CFA">
              <w:rPr>
                <w:rFonts w:ascii="Times New Roman" w:eastAsia="Times New Roman" w:hAnsi="Times New Roman" w:cs="Times New Roman"/>
                <w:color w:val="000000"/>
                <w:sz w:val="20"/>
                <w:szCs w:val="20"/>
                <w:lang w:eastAsia="pt-BR"/>
              </w:rPr>
              <w:t>)</w:t>
            </w:r>
          </w:p>
          <w:p w14:paraId="3593FA14" w14:textId="77777777" w:rsidR="001016DC" w:rsidRPr="00A74CFA" w:rsidRDefault="00B85ADF" w:rsidP="001016DC">
            <w:pPr>
              <w:ind w:right="60" w:firstLine="0"/>
              <w:rPr>
                <w:rFonts w:ascii="Times New Roman" w:eastAsia="Times New Roman" w:hAnsi="Times New Roman" w:cs="Times New Roman"/>
                <w:color w:val="000000"/>
                <w:sz w:val="20"/>
                <w:szCs w:val="20"/>
                <w:lang w:eastAsia="pt-BR"/>
              </w:rPr>
            </w:pPr>
            <w:r w:rsidRPr="00A74CFA">
              <w:rPr>
                <w:rFonts w:ascii="Times New Roman" w:eastAsia="Times New Roman" w:hAnsi="Times New Roman" w:cs="Times New Roman"/>
                <w:b/>
                <w:bCs/>
                <w:color w:val="000000"/>
                <w:sz w:val="20"/>
                <w:szCs w:val="20"/>
                <w:lang w:eastAsia="pt-BR"/>
              </w:rPr>
              <w:t>Telefones de contato:</w:t>
            </w:r>
            <w:r w:rsidRPr="00A74CFA">
              <w:rPr>
                <w:rFonts w:ascii="Times New Roman" w:eastAsia="Times New Roman" w:hAnsi="Times New Roman" w:cs="Times New Roman"/>
                <w:color w:val="000000"/>
                <w:sz w:val="20"/>
                <w:szCs w:val="20"/>
                <w:lang w:eastAsia="pt-BR"/>
              </w:rPr>
              <w:t xml:space="preserve"> (31) 3501-1360</w:t>
            </w:r>
          </w:p>
          <w:p w14:paraId="09F070A3" w14:textId="770929C2" w:rsidR="00B85ADF" w:rsidRPr="00A74CFA" w:rsidRDefault="00B85ADF" w:rsidP="001016DC">
            <w:pPr>
              <w:ind w:right="60" w:firstLine="0"/>
              <w:rPr>
                <w:rFonts w:ascii="Times New Roman" w:eastAsia="Times New Roman" w:hAnsi="Times New Roman" w:cs="Times New Roman"/>
                <w:color w:val="000000"/>
                <w:sz w:val="20"/>
                <w:szCs w:val="20"/>
                <w:lang w:eastAsia="pt-BR"/>
              </w:rPr>
            </w:pPr>
            <w:r w:rsidRPr="00A74CFA">
              <w:rPr>
                <w:rFonts w:ascii="Times New Roman" w:eastAsia="Times New Roman" w:hAnsi="Times New Roman" w:cs="Times New Roman"/>
                <w:b/>
                <w:bCs/>
                <w:color w:val="000000"/>
                <w:sz w:val="20"/>
                <w:szCs w:val="20"/>
                <w:lang w:eastAsia="pt-BR"/>
              </w:rPr>
              <w:t xml:space="preserve">E-mail institucional: </w:t>
            </w:r>
            <w:r w:rsidRPr="00A74CFA">
              <w:rPr>
                <w:rFonts w:ascii="Times New Roman" w:eastAsia="Times New Roman" w:hAnsi="Times New Roman" w:cs="Times New Roman"/>
                <w:color w:val="000000"/>
                <w:sz w:val="20"/>
                <w:szCs w:val="20"/>
                <w:lang w:eastAsia="pt-BR"/>
              </w:rPr>
              <w:t>secob.mg@trf6.jus.br</w:t>
            </w:r>
          </w:p>
        </w:tc>
      </w:tr>
    </w:tbl>
    <w:p w14:paraId="20A012CE" w14:textId="77777777" w:rsidR="00A61C3A" w:rsidRPr="00252DF7" w:rsidRDefault="00651435" w:rsidP="007801DD">
      <w:pPr>
        <w:ind w:right="12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r w:rsidR="00A61C3A" w:rsidRPr="000C5C1C">
        <w:rPr>
          <w:rFonts w:ascii="Times New Roman" w:eastAsia="Times New Roman" w:hAnsi="Times New Roman" w:cs="Times New Roman"/>
          <w:sz w:val="20"/>
          <w:szCs w:val="20"/>
          <w:lang w:eastAsia="pt-BR"/>
        </w:rPr>
        <w:t>Fonte: ela</w:t>
      </w:r>
      <w:r w:rsidR="00252DF7">
        <w:rPr>
          <w:rFonts w:ascii="Times New Roman" w:eastAsia="Times New Roman" w:hAnsi="Times New Roman" w:cs="Times New Roman"/>
          <w:sz w:val="20"/>
          <w:szCs w:val="20"/>
          <w:lang w:eastAsia="pt-BR"/>
        </w:rPr>
        <w:t>borado pela equipe de auditoria</w:t>
      </w:r>
    </w:p>
    <w:p w14:paraId="67747B3F" w14:textId="77777777" w:rsidR="00571BA2" w:rsidRDefault="00571BA2" w:rsidP="00571BA2">
      <w:pPr>
        <w:ind w:right="119"/>
        <w:jc w:val="both"/>
        <w:rPr>
          <w:rFonts w:ascii="Times New Roman" w:eastAsia="Times New Roman" w:hAnsi="Times New Roman" w:cs="Times New Roman"/>
          <w:color w:val="000000"/>
          <w:sz w:val="24"/>
          <w:szCs w:val="24"/>
          <w:lang w:eastAsia="pt-BR"/>
        </w:rPr>
      </w:pPr>
    </w:p>
    <w:p w14:paraId="37FE1AD0" w14:textId="5F0608B0" w:rsidR="008E2F92" w:rsidRDefault="00B6239C" w:rsidP="0024658C">
      <w:pPr>
        <w:spacing w:before="240"/>
        <w:ind w:right="120" w:firstLine="708"/>
        <w:jc w:val="both"/>
        <w:rPr>
          <w:rFonts w:ascii="Times New Roman" w:eastAsia="Times New Roman" w:hAnsi="Times New Roman" w:cs="Times New Roman"/>
          <w:color w:val="000000"/>
          <w:sz w:val="24"/>
          <w:szCs w:val="24"/>
          <w:lang w:eastAsia="pt-BR"/>
        </w:rPr>
      </w:pPr>
      <w:r w:rsidRPr="001C50F5">
        <w:rPr>
          <w:rFonts w:ascii="Times New Roman" w:eastAsia="Times New Roman" w:hAnsi="Times New Roman" w:cs="Times New Roman"/>
          <w:color w:val="000000"/>
          <w:sz w:val="24"/>
          <w:szCs w:val="24"/>
          <w:lang w:eastAsia="pt-BR"/>
        </w:rPr>
        <w:lastRenderedPageBreak/>
        <w:t xml:space="preserve">Para cumprimento das responsabilidades e da missão institucional do TRF6, </w:t>
      </w:r>
      <w:r w:rsidR="005F11E7" w:rsidRPr="001C50F5">
        <w:rPr>
          <w:rFonts w:ascii="Times New Roman" w:eastAsia="Times New Roman" w:hAnsi="Times New Roman" w:cs="Times New Roman"/>
          <w:color w:val="000000"/>
          <w:sz w:val="24"/>
          <w:szCs w:val="24"/>
          <w:lang w:eastAsia="pt-BR"/>
        </w:rPr>
        <w:t xml:space="preserve">foram descentralizados créditos orçamentários </w:t>
      </w:r>
      <w:r w:rsidRPr="001C50F5">
        <w:rPr>
          <w:rFonts w:ascii="Times New Roman" w:eastAsia="Times New Roman" w:hAnsi="Times New Roman" w:cs="Times New Roman"/>
          <w:color w:val="000000"/>
          <w:sz w:val="24"/>
          <w:szCs w:val="24"/>
          <w:lang w:eastAsia="pt-BR"/>
        </w:rPr>
        <w:t>para custeio das ações relativas à prestação de serviços ao jurisdicionado.</w:t>
      </w:r>
      <w:r w:rsidR="00101341" w:rsidRPr="001C50F5">
        <w:rPr>
          <w:rFonts w:ascii="Times New Roman" w:eastAsia="Times New Roman" w:hAnsi="Times New Roman" w:cs="Times New Roman"/>
          <w:color w:val="000000"/>
          <w:sz w:val="24"/>
          <w:szCs w:val="24"/>
          <w:lang w:eastAsia="pt-BR"/>
        </w:rPr>
        <w:t xml:space="preserve"> </w:t>
      </w:r>
      <w:r w:rsidR="00FB24CE" w:rsidRPr="001C50F5">
        <w:rPr>
          <w:rFonts w:ascii="Times New Roman" w:eastAsia="Times New Roman" w:hAnsi="Times New Roman" w:cs="Times New Roman"/>
          <w:color w:val="000000"/>
          <w:sz w:val="24"/>
          <w:szCs w:val="24"/>
          <w:lang w:eastAsia="pt-BR"/>
        </w:rPr>
        <w:t xml:space="preserve">O </w:t>
      </w:r>
      <w:r w:rsidR="008E2F92">
        <w:rPr>
          <w:rFonts w:ascii="Times New Roman" w:eastAsia="Times New Roman" w:hAnsi="Times New Roman" w:cs="Times New Roman"/>
          <w:color w:val="000000"/>
          <w:sz w:val="24"/>
          <w:szCs w:val="24"/>
          <w:lang w:eastAsia="pt-BR"/>
        </w:rPr>
        <w:t>saldo das despesas empenhadas no final do exercício de 202</w:t>
      </w:r>
      <w:r w:rsidR="00E44C8B">
        <w:rPr>
          <w:rFonts w:ascii="Times New Roman" w:eastAsia="Times New Roman" w:hAnsi="Times New Roman" w:cs="Times New Roman"/>
          <w:color w:val="000000"/>
          <w:sz w:val="24"/>
          <w:szCs w:val="24"/>
          <w:lang w:eastAsia="pt-BR"/>
        </w:rPr>
        <w:t>5</w:t>
      </w:r>
      <w:r w:rsidR="008E2F92">
        <w:rPr>
          <w:rFonts w:ascii="Times New Roman" w:eastAsia="Times New Roman" w:hAnsi="Times New Roman" w:cs="Times New Roman"/>
          <w:color w:val="000000"/>
          <w:sz w:val="24"/>
          <w:szCs w:val="24"/>
          <w:lang w:eastAsia="pt-BR"/>
        </w:rPr>
        <w:t xml:space="preserve"> nas </w:t>
      </w:r>
      <w:proofErr w:type="spellStart"/>
      <w:r w:rsidR="008E2F92">
        <w:rPr>
          <w:rFonts w:ascii="Times New Roman" w:eastAsia="Times New Roman" w:hAnsi="Times New Roman" w:cs="Times New Roman"/>
          <w:color w:val="000000"/>
          <w:sz w:val="24"/>
          <w:szCs w:val="24"/>
          <w:lang w:eastAsia="pt-BR"/>
        </w:rPr>
        <w:t>UGs</w:t>
      </w:r>
      <w:proofErr w:type="spellEnd"/>
      <w:r w:rsidR="008E2F92">
        <w:rPr>
          <w:rFonts w:ascii="Times New Roman" w:eastAsia="Times New Roman" w:hAnsi="Times New Roman" w:cs="Times New Roman"/>
          <w:color w:val="000000"/>
          <w:sz w:val="24"/>
          <w:szCs w:val="24"/>
          <w:lang w:eastAsia="pt-BR"/>
        </w:rPr>
        <w:t xml:space="preserve"> 090013 e 090059 atingiu o montante de </w:t>
      </w:r>
      <w:r w:rsidR="008E2F92" w:rsidRPr="008E2F92">
        <w:rPr>
          <w:rFonts w:ascii="Times New Roman" w:eastAsia="Times New Roman" w:hAnsi="Times New Roman" w:cs="Times New Roman"/>
          <w:b/>
          <w:color w:val="000000"/>
          <w:sz w:val="24"/>
          <w:szCs w:val="24"/>
          <w:lang w:eastAsia="pt-BR"/>
        </w:rPr>
        <w:t>R$ 1.</w:t>
      </w:r>
      <w:r w:rsidR="00502426">
        <w:rPr>
          <w:rFonts w:ascii="Times New Roman" w:eastAsia="Times New Roman" w:hAnsi="Times New Roman" w:cs="Times New Roman"/>
          <w:b/>
          <w:color w:val="000000"/>
          <w:sz w:val="24"/>
          <w:szCs w:val="24"/>
          <w:lang w:eastAsia="pt-BR"/>
        </w:rPr>
        <w:t>277.688.938,70</w:t>
      </w:r>
      <w:r w:rsidR="008E2F92">
        <w:rPr>
          <w:rFonts w:ascii="Times New Roman" w:eastAsia="Times New Roman" w:hAnsi="Times New Roman" w:cs="Times New Roman"/>
          <w:color w:val="000000"/>
          <w:sz w:val="24"/>
          <w:szCs w:val="24"/>
          <w:lang w:eastAsia="pt-BR"/>
        </w:rPr>
        <w:t xml:space="preserve"> (</w:t>
      </w:r>
      <w:r w:rsidR="00502426" w:rsidRPr="00502426">
        <w:rPr>
          <w:rFonts w:ascii="Times New Roman" w:eastAsia="Times New Roman" w:hAnsi="Times New Roman" w:cs="Times New Roman"/>
          <w:color w:val="000000"/>
          <w:sz w:val="24"/>
          <w:szCs w:val="24"/>
          <w:lang w:eastAsia="pt-BR"/>
        </w:rPr>
        <w:t xml:space="preserve">um </w:t>
      </w:r>
      <w:proofErr w:type="gramStart"/>
      <w:r w:rsidR="00502426" w:rsidRPr="00502426">
        <w:rPr>
          <w:rFonts w:ascii="Times New Roman" w:eastAsia="Times New Roman" w:hAnsi="Times New Roman" w:cs="Times New Roman"/>
          <w:color w:val="000000"/>
          <w:sz w:val="24"/>
          <w:szCs w:val="24"/>
          <w:lang w:eastAsia="pt-BR"/>
        </w:rPr>
        <w:t>bilhão duzentos e setenta e sete milhões seiscentos e oitenta e oito mil novecentos e trinta e oito reais</w:t>
      </w:r>
      <w:proofErr w:type="gramEnd"/>
      <w:r w:rsidR="00502426" w:rsidRPr="00502426">
        <w:rPr>
          <w:rFonts w:ascii="Times New Roman" w:eastAsia="Times New Roman" w:hAnsi="Times New Roman" w:cs="Times New Roman"/>
          <w:color w:val="000000"/>
          <w:sz w:val="24"/>
          <w:szCs w:val="24"/>
          <w:lang w:eastAsia="pt-BR"/>
        </w:rPr>
        <w:t xml:space="preserve"> e setenta centavos</w:t>
      </w:r>
      <w:r w:rsidR="008E2F92">
        <w:rPr>
          <w:rFonts w:ascii="Times New Roman" w:eastAsia="Times New Roman" w:hAnsi="Times New Roman" w:cs="Times New Roman"/>
          <w:color w:val="000000"/>
          <w:sz w:val="24"/>
          <w:szCs w:val="24"/>
          <w:lang w:eastAsia="pt-BR"/>
        </w:rPr>
        <w:t>).</w:t>
      </w:r>
    </w:p>
    <w:p w14:paraId="2A577D53" w14:textId="73FC0BB4" w:rsidR="00721E0D" w:rsidRDefault="00362B7A" w:rsidP="0024658C">
      <w:pPr>
        <w:spacing w:before="240"/>
        <w:ind w:right="120" w:firstLine="708"/>
        <w:jc w:val="both"/>
        <w:rPr>
          <w:rFonts w:ascii="Times New Roman" w:eastAsia="Times New Roman" w:hAnsi="Times New Roman" w:cs="Times New Roman"/>
          <w:color w:val="000000"/>
          <w:sz w:val="24"/>
          <w:szCs w:val="24"/>
          <w:lang w:eastAsia="pt-BR"/>
        </w:rPr>
      </w:pPr>
      <w:r w:rsidRPr="001C50F5">
        <w:rPr>
          <w:rFonts w:ascii="Times New Roman" w:eastAsia="Times New Roman" w:hAnsi="Times New Roman" w:cs="Times New Roman"/>
          <w:color w:val="000000"/>
          <w:sz w:val="24"/>
          <w:szCs w:val="24"/>
          <w:lang w:eastAsia="pt-BR"/>
        </w:rPr>
        <w:t>Além</w:t>
      </w:r>
      <w:r w:rsidR="00BD3C4C">
        <w:rPr>
          <w:rFonts w:ascii="Times New Roman" w:eastAsia="Times New Roman" w:hAnsi="Times New Roman" w:cs="Times New Roman"/>
          <w:color w:val="000000"/>
          <w:sz w:val="24"/>
          <w:szCs w:val="24"/>
          <w:lang w:eastAsia="pt-BR"/>
        </w:rPr>
        <w:t xml:space="preserve"> </w:t>
      </w:r>
      <w:r w:rsidRPr="001C50F5">
        <w:rPr>
          <w:rFonts w:ascii="Times New Roman" w:eastAsia="Times New Roman" w:hAnsi="Times New Roman" w:cs="Times New Roman"/>
          <w:color w:val="000000"/>
          <w:sz w:val="24"/>
          <w:szCs w:val="24"/>
          <w:lang w:eastAsia="pt-BR"/>
        </w:rPr>
        <w:t xml:space="preserve">disso, </w:t>
      </w:r>
      <w:r w:rsidR="006E6D26" w:rsidRPr="001C50F5">
        <w:rPr>
          <w:rFonts w:ascii="Times New Roman" w:eastAsia="Times New Roman" w:hAnsi="Times New Roman" w:cs="Times New Roman"/>
          <w:color w:val="000000"/>
          <w:sz w:val="24"/>
          <w:szCs w:val="24"/>
          <w:lang w:eastAsia="pt-BR"/>
        </w:rPr>
        <w:t xml:space="preserve">foram </w:t>
      </w:r>
      <w:r w:rsidR="00721E0D">
        <w:rPr>
          <w:rFonts w:ascii="Times New Roman" w:eastAsia="Times New Roman" w:hAnsi="Times New Roman" w:cs="Times New Roman"/>
          <w:color w:val="000000"/>
          <w:sz w:val="24"/>
          <w:szCs w:val="24"/>
          <w:lang w:eastAsia="pt-BR"/>
        </w:rPr>
        <w:t xml:space="preserve">empenhadas na UG 090060 o montante de </w:t>
      </w:r>
      <w:r w:rsidR="00721E0D" w:rsidRPr="00721E0D">
        <w:rPr>
          <w:rFonts w:ascii="Times New Roman" w:eastAsia="Times New Roman" w:hAnsi="Times New Roman" w:cs="Times New Roman"/>
          <w:b/>
          <w:color w:val="000000"/>
          <w:sz w:val="24"/>
          <w:szCs w:val="24"/>
          <w:lang w:eastAsia="pt-BR"/>
        </w:rPr>
        <w:t xml:space="preserve">R$ </w:t>
      </w:r>
      <w:r w:rsidR="00502426" w:rsidRPr="00502426">
        <w:rPr>
          <w:rFonts w:ascii="Times New Roman" w:eastAsia="Times New Roman" w:hAnsi="Times New Roman" w:cs="Times New Roman"/>
          <w:b/>
          <w:color w:val="000000"/>
          <w:sz w:val="24"/>
          <w:szCs w:val="24"/>
          <w:lang w:eastAsia="pt-BR"/>
        </w:rPr>
        <w:t>5</w:t>
      </w:r>
      <w:r w:rsidR="00502426">
        <w:rPr>
          <w:rFonts w:ascii="Times New Roman" w:eastAsia="Times New Roman" w:hAnsi="Times New Roman" w:cs="Times New Roman"/>
          <w:b/>
          <w:color w:val="000000"/>
          <w:sz w:val="24"/>
          <w:szCs w:val="24"/>
          <w:lang w:eastAsia="pt-BR"/>
        </w:rPr>
        <w:t>.</w:t>
      </w:r>
      <w:r w:rsidR="00502426" w:rsidRPr="00502426">
        <w:rPr>
          <w:rFonts w:ascii="Times New Roman" w:eastAsia="Times New Roman" w:hAnsi="Times New Roman" w:cs="Times New Roman"/>
          <w:b/>
          <w:color w:val="000000"/>
          <w:sz w:val="24"/>
          <w:szCs w:val="24"/>
          <w:lang w:eastAsia="pt-BR"/>
        </w:rPr>
        <w:t>200</w:t>
      </w:r>
      <w:r w:rsidR="00502426">
        <w:rPr>
          <w:rFonts w:ascii="Times New Roman" w:eastAsia="Times New Roman" w:hAnsi="Times New Roman" w:cs="Times New Roman"/>
          <w:b/>
          <w:color w:val="000000"/>
          <w:sz w:val="24"/>
          <w:szCs w:val="24"/>
          <w:lang w:eastAsia="pt-BR"/>
        </w:rPr>
        <w:t>.</w:t>
      </w:r>
      <w:r w:rsidR="00502426" w:rsidRPr="00502426">
        <w:rPr>
          <w:rFonts w:ascii="Times New Roman" w:eastAsia="Times New Roman" w:hAnsi="Times New Roman" w:cs="Times New Roman"/>
          <w:b/>
          <w:color w:val="000000"/>
          <w:sz w:val="24"/>
          <w:szCs w:val="24"/>
          <w:lang w:eastAsia="pt-BR"/>
        </w:rPr>
        <w:t>974</w:t>
      </w:r>
      <w:r w:rsidR="00502426">
        <w:rPr>
          <w:rFonts w:ascii="Times New Roman" w:eastAsia="Times New Roman" w:hAnsi="Times New Roman" w:cs="Times New Roman"/>
          <w:b/>
          <w:color w:val="000000"/>
          <w:sz w:val="24"/>
          <w:szCs w:val="24"/>
          <w:lang w:eastAsia="pt-BR"/>
        </w:rPr>
        <w:t>.</w:t>
      </w:r>
      <w:r w:rsidR="00502426" w:rsidRPr="00502426">
        <w:rPr>
          <w:rFonts w:ascii="Times New Roman" w:eastAsia="Times New Roman" w:hAnsi="Times New Roman" w:cs="Times New Roman"/>
          <w:b/>
          <w:color w:val="000000"/>
          <w:sz w:val="24"/>
          <w:szCs w:val="24"/>
          <w:lang w:eastAsia="pt-BR"/>
        </w:rPr>
        <w:t xml:space="preserve">551,81 </w:t>
      </w:r>
      <w:r w:rsidR="00721E0D">
        <w:rPr>
          <w:rFonts w:ascii="Times New Roman" w:eastAsia="Times New Roman" w:hAnsi="Times New Roman" w:cs="Times New Roman"/>
          <w:color w:val="000000"/>
          <w:sz w:val="24"/>
          <w:szCs w:val="24"/>
          <w:lang w:eastAsia="pt-BR"/>
        </w:rPr>
        <w:t>(</w:t>
      </w:r>
      <w:r w:rsidR="00502426">
        <w:rPr>
          <w:rFonts w:ascii="Times New Roman" w:eastAsia="Times New Roman" w:hAnsi="Times New Roman" w:cs="Times New Roman"/>
          <w:color w:val="000000"/>
          <w:sz w:val="24"/>
          <w:szCs w:val="24"/>
          <w:lang w:eastAsia="pt-BR"/>
        </w:rPr>
        <w:t xml:space="preserve">cinco </w:t>
      </w:r>
      <w:r w:rsidR="00721E0D">
        <w:rPr>
          <w:rFonts w:ascii="Times New Roman" w:eastAsia="Times New Roman" w:hAnsi="Times New Roman" w:cs="Times New Roman"/>
          <w:color w:val="000000"/>
          <w:sz w:val="24"/>
          <w:szCs w:val="24"/>
          <w:lang w:eastAsia="pt-BR"/>
        </w:rPr>
        <w:t>bilhões</w:t>
      </w:r>
      <w:r w:rsidR="00502426">
        <w:rPr>
          <w:rFonts w:ascii="Times New Roman" w:eastAsia="Times New Roman" w:hAnsi="Times New Roman" w:cs="Times New Roman"/>
          <w:color w:val="000000"/>
          <w:sz w:val="24"/>
          <w:szCs w:val="24"/>
          <w:lang w:eastAsia="pt-BR"/>
        </w:rPr>
        <w:t xml:space="preserve"> duzentos milhões novecentos e setenta e quatro mil</w:t>
      </w:r>
      <w:r w:rsidR="00C34065">
        <w:rPr>
          <w:rFonts w:ascii="Times New Roman" w:eastAsia="Times New Roman" w:hAnsi="Times New Roman" w:cs="Times New Roman"/>
          <w:color w:val="000000"/>
          <w:sz w:val="24"/>
          <w:szCs w:val="24"/>
          <w:lang w:eastAsia="pt-BR"/>
        </w:rPr>
        <w:t xml:space="preserve"> </w:t>
      </w:r>
      <w:r w:rsidR="00502426">
        <w:rPr>
          <w:rFonts w:ascii="Times New Roman" w:eastAsia="Times New Roman" w:hAnsi="Times New Roman" w:cs="Times New Roman"/>
          <w:color w:val="000000"/>
          <w:sz w:val="24"/>
          <w:szCs w:val="24"/>
          <w:lang w:eastAsia="pt-BR"/>
        </w:rPr>
        <w:t>quinhentos e cinquenta e um reais e oitenta e um centavos),</w:t>
      </w:r>
      <w:r w:rsidR="00721E0D">
        <w:rPr>
          <w:rFonts w:ascii="Times New Roman" w:eastAsia="Times New Roman" w:hAnsi="Times New Roman" w:cs="Times New Roman"/>
          <w:color w:val="000000"/>
          <w:sz w:val="24"/>
          <w:szCs w:val="24"/>
          <w:lang w:eastAsia="pt-BR"/>
        </w:rPr>
        <w:t xml:space="preserve"> </w:t>
      </w:r>
      <w:r w:rsidR="00F662E7">
        <w:rPr>
          <w:rFonts w:ascii="Times New Roman" w:eastAsia="Times New Roman" w:hAnsi="Times New Roman" w:cs="Times New Roman"/>
          <w:color w:val="000000"/>
          <w:sz w:val="24"/>
          <w:szCs w:val="24"/>
          <w:lang w:eastAsia="pt-BR"/>
        </w:rPr>
        <w:t>destinado</w:t>
      </w:r>
      <w:r w:rsidR="006E6D26" w:rsidRPr="001C50F5">
        <w:rPr>
          <w:rFonts w:ascii="Times New Roman" w:eastAsia="Times New Roman" w:hAnsi="Times New Roman" w:cs="Times New Roman"/>
          <w:color w:val="000000"/>
          <w:sz w:val="24"/>
          <w:szCs w:val="24"/>
          <w:lang w:eastAsia="pt-BR"/>
        </w:rPr>
        <w:t>s ao pagamento de Precatórios e RPVs</w:t>
      </w:r>
      <w:r w:rsidR="00721E0D">
        <w:rPr>
          <w:rFonts w:ascii="Times New Roman" w:eastAsia="Times New Roman" w:hAnsi="Times New Roman" w:cs="Times New Roman"/>
          <w:color w:val="000000"/>
          <w:sz w:val="24"/>
          <w:szCs w:val="24"/>
          <w:lang w:eastAsia="pt-BR"/>
        </w:rPr>
        <w:t xml:space="preserve">. </w:t>
      </w:r>
    </w:p>
    <w:p w14:paraId="796F91DF" w14:textId="1910E1F7" w:rsidR="00920069" w:rsidRDefault="00351FE2" w:rsidP="0024658C">
      <w:pPr>
        <w:spacing w:before="240"/>
        <w:ind w:right="120" w:firstLine="708"/>
        <w:jc w:val="both"/>
        <w:rPr>
          <w:rFonts w:ascii="Times New Roman" w:eastAsia="Times New Roman" w:hAnsi="Times New Roman" w:cs="Times New Roman"/>
          <w:color w:val="000000"/>
          <w:sz w:val="24"/>
          <w:szCs w:val="24"/>
          <w:lang w:eastAsia="pt-BR"/>
        </w:rPr>
      </w:pPr>
      <w:r w:rsidRPr="001C50F5">
        <w:rPr>
          <w:rFonts w:ascii="Times New Roman" w:eastAsia="Times New Roman" w:hAnsi="Times New Roman" w:cs="Times New Roman"/>
          <w:color w:val="000000"/>
          <w:sz w:val="24"/>
          <w:szCs w:val="24"/>
          <w:lang w:eastAsia="pt-BR"/>
        </w:rPr>
        <w:t>A Tabela 1 apresenta os valores globais da execução orçamentária e financeira da entidade durante o exercício de 202</w:t>
      </w:r>
      <w:r w:rsidR="004F3904">
        <w:rPr>
          <w:rFonts w:ascii="Times New Roman" w:eastAsia="Times New Roman" w:hAnsi="Times New Roman" w:cs="Times New Roman"/>
          <w:color w:val="000000"/>
          <w:sz w:val="24"/>
          <w:szCs w:val="24"/>
          <w:lang w:eastAsia="pt-BR"/>
        </w:rPr>
        <w:t>5</w:t>
      </w:r>
      <w:r w:rsidRPr="001C50F5">
        <w:rPr>
          <w:rFonts w:ascii="Times New Roman" w:eastAsia="Times New Roman" w:hAnsi="Times New Roman" w:cs="Times New Roman"/>
          <w:color w:val="000000"/>
          <w:sz w:val="24"/>
          <w:szCs w:val="24"/>
          <w:lang w:eastAsia="pt-BR"/>
        </w:rPr>
        <w:t>, incluído</w:t>
      </w:r>
      <w:r w:rsidR="0065460A" w:rsidRPr="001C50F5">
        <w:rPr>
          <w:rFonts w:ascii="Times New Roman" w:eastAsia="Times New Roman" w:hAnsi="Times New Roman" w:cs="Times New Roman"/>
          <w:color w:val="000000"/>
          <w:sz w:val="24"/>
          <w:szCs w:val="24"/>
          <w:lang w:eastAsia="pt-BR"/>
        </w:rPr>
        <w:t>s</w:t>
      </w:r>
      <w:r w:rsidRPr="001C50F5">
        <w:rPr>
          <w:rFonts w:ascii="Times New Roman" w:eastAsia="Times New Roman" w:hAnsi="Times New Roman" w:cs="Times New Roman"/>
          <w:color w:val="000000"/>
          <w:sz w:val="24"/>
          <w:szCs w:val="24"/>
          <w:lang w:eastAsia="pt-BR"/>
        </w:rPr>
        <w:t xml:space="preserve"> </w:t>
      </w:r>
      <w:r w:rsidR="00F50527" w:rsidRPr="001C50F5">
        <w:rPr>
          <w:rFonts w:ascii="Times New Roman" w:eastAsia="Times New Roman" w:hAnsi="Times New Roman" w:cs="Times New Roman"/>
          <w:color w:val="000000"/>
          <w:sz w:val="24"/>
          <w:szCs w:val="24"/>
          <w:lang w:eastAsia="pt-BR"/>
        </w:rPr>
        <w:t>o</w:t>
      </w:r>
      <w:r w:rsidR="0065460A" w:rsidRPr="001C50F5">
        <w:rPr>
          <w:rFonts w:ascii="Times New Roman" w:eastAsia="Times New Roman" w:hAnsi="Times New Roman" w:cs="Times New Roman"/>
          <w:color w:val="000000"/>
          <w:sz w:val="24"/>
          <w:szCs w:val="24"/>
          <w:lang w:eastAsia="pt-BR"/>
        </w:rPr>
        <w:t xml:space="preserve">s valores relativos às </w:t>
      </w:r>
      <w:r w:rsidR="00F50527" w:rsidRPr="001C50F5">
        <w:rPr>
          <w:rFonts w:ascii="Times New Roman" w:eastAsia="Times New Roman" w:hAnsi="Times New Roman" w:cs="Times New Roman"/>
          <w:color w:val="000000"/>
          <w:sz w:val="24"/>
          <w:szCs w:val="24"/>
          <w:lang w:eastAsia="pt-BR"/>
        </w:rPr>
        <w:t>sentenças judiciais (Precatórios e RPVs)</w:t>
      </w:r>
      <w:r w:rsidR="00101341" w:rsidRPr="001C50F5">
        <w:rPr>
          <w:rFonts w:ascii="Times New Roman" w:eastAsia="Times New Roman" w:hAnsi="Times New Roman" w:cs="Times New Roman"/>
          <w:color w:val="000000"/>
          <w:sz w:val="24"/>
          <w:szCs w:val="24"/>
          <w:lang w:eastAsia="pt-BR"/>
        </w:rPr>
        <w:t>.</w:t>
      </w:r>
      <w:r w:rsidR="00DA2297" w:rsidRPr="001C50F5">
        <w:rPr>
          <w:rFonts w:ascii="Times New Roman" w:eastAsia="Times New Roman" w:hAnsi="Times New Roman" w:cs="Times New Roman"/>
          <w:color w:val="000000"/>
          <w:sz w:val="24"/>
          <w:szCs w:val="24"/>
          <w:lang w:eastAsia="pt-BR"/>
        </w:rPr>
        <w:t xml:space="preserve"> </w:t>
      </w:r>
    </w:p>
    <w:p w14:paraId="483C051B" w14:textId="77777777" w:rsidR="008D4E35" w:rsidRPr="00351FE2" w:rsidRDefault="008D4E35" w:rsidP="00E23F63">
      <w:pPr>
        <w:ind w:right="119"/>
        <w:jc w:val="both"/>
        <w:rPr>
          <w:rFonts w:ascii="Times New Roman" w:hAnsi="Times New Roman" w:cs="Times New Roman"/>
          <w:b/>
          <w:sz w:val="24"/>
          <w:szCs w:val="24"/>
        </w:rPr>
      </w:pPr>
    </w:p>
    <w:p w14:paraId="419CC8A1" w14:textId="77777777" w:rsidR="00A61C3A" w:rsidRPr="00C47BED" w:rsidRDefault="00A61C3A" w:rsidP="008D4E35">
      <w:pPr>
        <w:ind w:right="120" w:firstLine="0"/>
        <w:jc w:val="center"/>
        <w:rPr>
          <w:rFonts w:ascii="Times New Roman" w:eastAsia="Times New Roman" w:hAnsi="Times New Roman" w:cs="Times New Roman"/>
          <w:lang w:eastAsia="pt-BR"/>
        </w:rPr>
      </w:pPr>
      <w:bookmarkStart w:id="2" w:name="_Toc67063963"/>
      <w:r w:rsidRPr="00C47BED">
        <w:rPr>
          <w:rFonts w:ascii="Times New Roman" w:eastAsia="Times New Roman" w:hAnsi="Times New Roman" w:cs="Times New Roman"/>
          <w:b/>
          <w:bCs/>
          <w:color w:val="000000"/>
          <w:lang w:eastAsia="pt-BR"/>
        </w:rPr>
        <w:t>Tabela 1 – Execução da Despesa - (R$)</w:t>
      </w:r>
    </w:p>
    <w:tbl>
      <w:tblPr>
        <w:tblW w:w="8505" w:type="dxa"/>
        <w:jc w:val="center"/>
        <w:tblCellMar>
          <w:left w:w="70" w:type="dxa"/>
          <w:right w:w="70" w:type="dxa"/>
        </w:tblCellMar>
        <w:tblLook w:val="04A0" w:firstRow="1" w:lastRow="0" w:firstColumn="1" w:lastColumn="0" w:noHBand="0" w:noVBand="1"/>
      </w:tblPr>
      <w:tblGrid>
        <w:gridCol w:w="3402"/>
        <w:gridCol w:w="2410"/>
        <w:gridCol w:w="2693"/>
      </w:tblGrid>
      <w:tr w:rsidR="003756D0" w:rsidRPr="000B09CF" w14:paraId="61C273EF" w14:textId="77777777" w:rsidTr="0086751B">
        <w:trPr>
          <w:trHeight w:val="612"/>
          <w:jc w:val="center"/>
        </w:trPr>
        <w:tc>
          <w:tcPr>
            <w:tcW w:w="3402"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5EA5C5D5" w14:textId="77777777" w:rsidR="003756D0" w:rsidRPr="000B09CF" w:rsidRDefault="003756D0" w:rsidP="00867B58">
            <w:pPr>
              <w:ind w:firstLine="0"/>
              <w:jc w:val="center"/>
              <w:rPr>
                <w:rFonts w:ascii="Times New Roman" w:eastAsia="Times New Roman" w:hAnsi="Times New Roman" w:cs="Times New Roman"/>
                <w:b/>
                <w:bCs/>
                <w:sz w:val="20"/>
                <w:szCs w:val="20"/>
                <w:lang w:eastAsia="pt-BR"/>
              </w:rPr>
            </w:pPr>
            <w:r w:rsidRPr="000B09CF">
              <w:rPr>
                <w:rFonts w:ascii="Times New Roman" w:eastAsia="Times New Roman" w:hAnsi="Times New Roman" w:cs="Times New Roman"/>
                <w:b/>
                <w:bCs/>
                <w:sz w:val="20"/>
                <w:szCs w:val="20"/>
                <w:lang w:eastAsia="pt-BR"/>
              </w:rPr>
              <w:t>Despesas</w:t>
            </w:r>
          </w:p>
        </w:tc>
        <w:tc>
          <w:tcPr>
            <w:tcW w:w="2410" w:type="dxa"/>
            <w:tcBorders>
              <w:top w:val="single" w:sz="4" w:space="0" w:color="000000"/>
              <w:left w:val="nil"/>
              <w:bottom w:val="single" w:sz="4" w:space="0" w:color="000000"/>
              <w:right w:val="single" w:sz="4" w:space="0" w:color="000000"/>
            </w:tcBorders>
            <w:shd w:val="clear" w:color="000000" w:fill="D9D9D9"/>
            <w:vAlign w:val="center"/>
            <w:hideMark/>
          </w:tcPr>
          <w:p w14:paraId="18A35579" w14:textId="77777777" w:rsidR="003756D0" w:rsidRPr="000B09CF" w:rsidRDefault="003756D0" w:rsidP="00867B58">
            <w:pPr>
              <w:ind w:firstLine="0"/>
              <w:jc w:val="center"/>
              <w:rPr>
                <w:rFonts w:ascii="Times New Roman" w:eastAsia="Times New Roman" w:hAnsi="Times New Roman" w:cs="Times New Roman"/>
                <w:b/>
                <w:bCs/>
                <w:sz w:val="20"/>
                <w:szCs w:val="20"/>
                <w:lang w:eastAsia="pt-BR"/>
              </w:rPr>
            </w:pPr>
            <w:r w:rsidRPr="000B09CF">
              <w:rPr>
                <w:rFonts w:ascii="Times New Roman" w:eastAsia="Times New Roman" w:hAnsi="Times New Roman" w:cs="Times New Roman"/>
                <w:b/>
                <w:bCs/>
                <w:sz w:val="20"/>
                <w:szCs w:val="20"/>
                <w:lang w:eastAsia="pt-BR"/>
              </w:rPr>
              <w:t>Valores</w:t>
            </w:r>
          </w:p>
        </w:tc>
        <w:tc>
          <w:tcPr>
            <w:tcW w:w="2693" w:type="dxa"/>
            <w:tcBorders>
              <w:top w:val="single" w:sz="4" w:space="0" w:color="000000"/>
              <w:left w:val="nil"/>
              <w:bottom w:val="single" w:sz="4" w:space="0" w:color="000000"/>
              <w:right w:val="single" w:sz="4" w:space="0" w:color="000000"/>
            </w:tcBorders>
            <w:shd w:val="clear" w:color="000000" w:fill="D9D9D9"/>
            <w:vAlign w:val="center"/>
            <w:hideMark/>
          </w:tcPr>
          <w:p w14:paraId="4D12B54F" w14:textId="77777777" w:rsidR="003756D0" w:rsidRPr="000B09CF" w:rsidRDefault="003756D0" w:rsidP="00867B58">
            <w:pPr>
              <w:ind w:firstLine="0"/>
              <w:jc w:val="center"/>
              <w:rPr>
                <w:rFonts w:ascii="Times New Roman" w:eastAsia="Times New Roman" w:hAnsi="Times New Roman" w:cs="Times New Roman"/>
                <w:b/>
                <w:bCs/>
                <w:sz w:val="20"/>
                <w:szCs w:val="20"/>
                <w:lang w:eastAsia="pt-BR"/>
              </w:rPr>
            </w:pPr>
            <w:r w:rsidRPr="000B09CF">
              <w:rPr>
                <w:rFonts w:ascii="Times New Roman" w:eastAsia="Times New Roman" w:hAnsi="Times New Roman" w:cs="Times New Roman"/>
                <w:b/>
                <w:bCs/>
                <w:sz w:val="20"/>
                <w:szCs w:val="20"/>
                <w:lang w:eastAsia="pt-BR"/>
              </w:rPr>
              <w:t>% em relação à Provisão Recebida</w:t>
            </w:r>
          </w:p>
        </w:tc>
      </w:tr>
      <w:tr w:rsidR="003756D0" w:rsidRPr="000B09CF" w14:paraId="661F520A" w14:textId="77777777" w:rsidTr="0086751B">
        <w:trPr>
          <w:trHeight w:val="286"/>
          <w:jc w:val="center"/>
        </w:trPr>
        <w:tc>
          <w:tcPr>
            <w:tcW w:w="3402" w:type="dxa"/>
            <w:tcBorders>
              <w:top w:val="nil"/>
              <w:left w:val="single" w:sz="4" w:space="0" w:color="auto"/>
              <w:bottom w:val="single" w:sz="4" w:space="0" w:color="auto"/>
              <w:right w:val="single" w:sz="4" w:space="0" w:color="auto"/>
            </w:tcBorders>
            <w:vAlign w:val="center"/>
            <w:hideMark/>
          </w:tcPr>
          <w:p w14:paraId="7BE688AA" w14:textId="77777777" w:rsidR="003756D0" w:rsidRPr="000B09CF" w:rsidRDefault="003756D0" w:rsidP="00867B58">
            <w:pPr>
              <w:ind w:firstLine="0"/>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Provisão recebida</w:t>
            </w:r>
          </w:p>
        </w:tc>
        <w:tc>
          <w:tcPr>
            <w:tcW w:w="2410" w:type="dxa"/>
            <w:tcBorders>
              <w:top w:val="nil"/>
              <w:left w:val="nil"/>
              <w:bottom w:val="single" w:sz="4" w:space="0" w:color="auto"/>
              <w:right w:val="single" w:sz="4" w:space="0" w:color="auto"/>
            </w:tcBorders>
            <w:vAlign w:val="center"/>
            <w:hideMark/>
          </w:tcPr>
          <w:p w14:paraId="5615D0BA" w14:textId="77777777" w:rsidR="003756D0" w:rsidRPr="000B09CF" w:rsidRDefault="003756D0" w:rsidP="00C172A9">
            <w:pPr>
              <w:ind w:firstLine="0"/>
              <w:jc w:val="right"/>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6.527.544.084,78</w:t>
            </w:r>
          </w:p>
        </w:tc>
        <w:tc>
          <w:tcPr>
            <w:tcW w:w="2693" w:type="dxa"/>
            <w:tcBorders>
              <w:top w:val="nil"/>
              <w:left w:val="nil"/>
              <w:bottom w:val="single" w:sz="4" w:space="0" w:color="auto"/>
              <w:right w:val="single" w:sz="4" w:space="0" w:color="auto"/>
            </w:tcBorders>
            <w:vAlign w:val="center"/>
            <w:hideMark/>
          </w:tcPr>
          <w:p w14:paraId="1DF549DC" w14:textId="77777777" w:rsidR="003756D0" w:rsidRPr="000B09CF" w:rsidRDefault="003756D0" w:rsidP="00C172A9">
            <w:pPr>
              <w:ind w:firstLine="0"/>
              <w:jc w:val="center"/>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100,00%</w:t>
            </w:r>
          </w:p>
        </w:tc>
      </w:tr>
      <w:tr w:rsidR="003756D0" w:rsidRPr="000B09CF" w14:paraId="7C1D98A6" w14:textId="77777777" w:rsidTr="0086751B">
        <w:trPr>
          <w:trHeight w:val="384"/>
          <w:jc w:val="center"/>
        </w:trPr>
        <w:tc>
          <w:tcPr>
            <w:tcW w:w="3402" w:type="dxa"/>
            <w:tcBorders>
              <w:top w:val="nil"/>
              <w:left w:val="single" w:sz="4" w:space="0" w:color="auto"/>
              <w:bottom w:val="single" w:sz="4" w:space="0" w:color="auto"/>
              <w:right w:val="single" w:sz="4" w:space="0" w:color="auto"/>
            </w:tcBorders>
            <w:vAlign w:val="center"/>
            <w:hideMark/>
          </w:tcPr>
          <w:p w14:paraId="5A9B30A8" w14:textId="77777777" w:rsidR="003756D0" w:rsidRPr="000B09CF" w:rsidRDefault="003756D0" w:rsidP="00867B58">
            <w:pPr>
              <w:ind w:firstLine="0"/>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Empenhadas</w:t>
            </w:r>
          </w:p>
        </w:tc>
        <w:tc>
          <w:tcPr>
            <w:tcW w:w="2410" w:type="dxa"/>
            <w:tcBorders>
              <w:top w:val="nil"/>
              <w:left w:val="nil"/>
              <w:bottom w:val="single" w:sz="4" w:space="0" w:color="auto"/>
              <w:right w:val="single" w:sz="4" w:space="0" w:color="auto"/>
            </w:tcBorders>
            <w:vAlign w:val="center"/>
            <w:hideMark/>
          </w:tcPr>
          <w:p w14:paraId="0EA693DF" w14:textId="77777777" w:rsidR="003756D0" w:rsidRPr="000B09CF" w:rsidRDefault="003756D0" w:rsidP="00C172A9">
            <w:pPr>
              <w:ind w:firstLine="0"/>
              <w:jc w:val="right"/>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6.478.663.490,51</w:t>
            </w:r>
          </w:p>
        </w:tc>
        <w:tc>
          <w:tcPr>
            <w:tcW w:w="2693" w:type="dxa"/>
            <w:tcBorders>
              <w:top w:val="nil"/>
              <w:left w:val="nil"/>
              <w:bottom w:val="single" w:sz="4" w:space="0" w:color="auto"/>
              <w:right w:val="single" w:sz="4" w:space="0" w:color="auto"/>
            </w:tcBorders>
            <w:vAlign w:val="center"/>
            <w:hideMark/>
          </w:tcPr>
          <w:p w14:paraId="278388A3" w14:textId="77777777" w:rsidR="003756D0" w:rsidRPr="000B09CF" w:rsidRDefault="003756D0" w:rsidP="00C172A9">
            <w:pPr>
              <w:ind w:firstLine="0"/>
              <w:jc w:val="center"/>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99,25%</w:t>
            </w:r>
          </w:p>
        </w:tc>
      </w:tr>
      <w:tr w:rsidR="003756D0" w:rsidRPr="000B09CF" w14:paraId="4F29B9B0" w14:textId="77777777" w:rsidTr="0086751B">
        <w:trPr>
          <w:trHeight w:val="384"/>
          <w:jc w:val="center"/>
        </w:trPr>
        <w:tc>
          <w:tcPr>
            <w:tcW w:w="3402" w:type="dxa"/>
            <w:tcBorders>
              <w:top w:val="nil"/>
              <w:left w:val="single" w:sz="4" w:space="0" w:color="auto"/>
              <w:bottom w:val="single" w:sz="4" w:space="0" w:color="auto"/>
              <w:right w:val="single" w:sz="4" w:space="0" w:color="auto"/>
            </w:tcBorders>
            <w:vAlign w:val="center"/>
            <w:hideMark/>
          </w:tcPr>
          <w:p w14:paraId="1676046E" w14:textId="77777777" w:rsidR="003756D0" w:rsidRPr="000B09CF" w:rsidRDefault="003756D0" w:rsidP="00867B58">
            <w:pPr>
              <w:ind w:firstLine="0"/>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Liquidadas</w:t>
            </w:r>
          </w:p>
        </w:tc>
        <w:tc>
          <w:tcPr>
            <w:tcW w:w="2410" w:type="dxa"/>
            <w:tcBorders>
              <w:top w:val="nil"/>
              <w:left w:val="nil"/>
              <w:bottom w:val="single" w:sz="4" w:space="0" w:color="auto"/>
              <w:right w:val="single" w:sz="4" w:space="0" w:color="auto"/>
            </w:tcBorders>
            <w:vAlign w:val="center"/>
            <w:hideMark/>
          </w:tcPr>
          <w:p w14:paraId="4894A7A2" w14:textId="77777777" w:rsidR="003756D0" w:rsidRPr="000B09CF" w:rsidRDefault="003756D0" w:rsidP="00C172A9">
            <w:pPr>
              <w:ind w:firstLine="0"/>
              <w:jc w:val="right"/>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6.221.951.229,91</w:t>
            </w:r>
          </w:p>
        </w:tc>
        <w:tc>
          <w:tcPr>
            <w:tcW w:w="2693" w:type="dxa"/>
            <w:tcBorders>
              <w:top w:val="nil"/>
              <w:left w:val="nil"/>
              <w:bottom w:val="single" w:sz="4" w:space="0" w:color="auto"/>
              <w:right w:val="single" w:sz="4" w:space="0" w:color="auto"/>
            </w:tcBorders>
            <w:vAlign w:val="center"/>
            <w:hideMark/>
          </w:tcPr>
          <w:p w14:paraId="09EFCA1F" w14:textId="77777777" w:rsidR="003756D0" w:rsidRPr="000B09CF" w:rsidRDefault="003756D0" w:rsidP="00C172A9">
            <w:pPr>
              <w:ind w:firstLine="0"/>
              <w:jc w:val="center"/>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95,32%</w:t>
            </w:r>
          </w:p>
        </w:tc>
      </w:tr>
      <w:tr w:rsidR="003756D0" w:rsidRPr="000B09CF" w14:paraId="1CDC06D6" w14:textId="77777777" w:rsidTr="0086751B">
        <w:trPr>
          <w:trHeight w:val="384"/>
          <w:jc w:val="center"/>
        </w:trPr>
        <w:tc>
          <w:tcPr>
            <w:tcW w:w="3402" w:type="dxa"/>
            <w:tcBorders>
              <w:top w:val="nil"/>
              <w:left w:val="single" w:sz="4" w:space="0" w:color="auto"/>
              <w:bottom w:val="single" w:sz="4" w:space="0" w:color="auto"/>
              <w:right w:val="single" w:sz="4" w:space="0" w:color="auto"/>
            </w:tcBorders>
            <w:vAlign w:val="center"/>
            <w:hideMark/>
          </w:tcPr>
          <w:p w14:paraId="0EC57825" w14:textId="77777777" w:rsidR="003756D0" w:rsidRPr="000B09CF" w:rsidRDefault="003756D0" w:rsidP="00867B58">
            <w:pPr>
              <w:ind w:firstLine="0"/>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Pagas</w:t>
            </w:r>
          </w:p>
        </w:tc>
        <w:tc>
          <w:tcPr>
            <w:tcW w:w="2410" w:type="dxa"/>
            <w:tcBorders>
              <w:top w:val="nil"/>
              <w:left w:val="nil"/>
              <w:bottom w:val="single" w:sz="4" w:space="0" w:color="auto"/>
              <w:right w:val="single" w:sz="4" w:space="0" w:color="auto"/>
            </w:tcBorders>
            <w:vAlign w:val="center"/>
            <w:hideMark/>
          </w:tcPr>
          <w:p w14:paraId="489EE9CD" w14:textId="77777777" w:rsidR="003756D0" w:rsidRPr="000B09CF" w:rsidRDefault="003756D0" w:rsidP="00C172A9">
            <w:pPr>
              <w:ind w:firstLine="0"/>
              <w:jc w:val="right"/>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6.206.321.658,91</w:t>
            </w:r>
          </w:p>
        </w:tc>
        <w:tc>
          <w:tcPr>
            <w:tcW w:w="2693" w:type="dxa"/>
            <w:tcBorders>
              <w:top w:val="nil"/>
              <w:left w:val="nil"/>
              <w:bottom w:val="single" w:sz="4" w:space="0" w:color="auto"/>
              <w:right w:val="single" w:sz="4" w:space="0" w:color="auto"/>
            </w:tcBorders>
            <w:vAlign w:val="center"/>
            <w:hideMark/>
          </w:tcPr>
          <w:p w14:paraId="137C2675" w14:textId="77777777" w:rsidR="003756D0" w:rsidRPr="000B09CF" w:rsidRDefault="003756D0" w:rsidP="00C172A9">
            <w:pPr>
              <w:ind w:firstLine="0"/>
              <w:jc w:val="center"/>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95,08%</w:t>
            </w:r>
          </w:p>
        </w:tc>
      </w:tr>
      <w:tr w:rsidR="003756D0" w:rsidRPr="000B09CF" w14:paraId="66791C1E" w14:textId="77777777" w:rsidTr="0086751B">
        <w:trPr>
          <w:trHeight w:val="384"/>
          <w:jc w:val="center"/>
        </w:trPr>
        <w:tc>
          <w:tcPr>
            <w:tcW w:w="3402" w:type="dxa"/>
            <w:tcBorders>
              <w:top w:val="nil"/>
              <w:left w:val="single" w:sz="4" w:space="0" w:color="auto"/>
              <w:bottom w:val="single" w:sz="4" w:space="0" w:color="auto"/>
              <w:right w:val="single" w:sz="4" w:space="0" w:color="auto"/>
            </w:tcBorders>
            <w:vAlign w:val="center"/>
            <w:hideMark/>
          </w:tcPr>
          <w:p w14:paraId="3FFEF94A" w14:textId="77777777" w:rsidR="003756D0" w:rsidRPr="000B09CF" w:rsidRDefault="003756D0" w:rsidP="00867B58">
            <w:pPr>
              <w:ind w:firstLine="0"/>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RPP Inscrito no Exercício</w:t>
            </w:r>
            <w:r w:rsidRPr="000B09CF">
              <w:rPr>
                <w:rFonts w:ascii="Times New Roman" w:eastAsia="Times New Roman" w:hAnsi="Times New Roman" w:cs="Times New Roman"/>
                <w:color w:val="000000"/>
                <w:sz w:val="20"/>
                <w:szCs w:val="20"/>
                <w:vertAlign w:val="superscript"/>
                <w:lang w:eastAsia="pt-BR"/>
              </w:rPr>
              <w:t>1</w:t>
            </w:r>
          </w:p>
        </w:tc>
        <w:tc>
          <w:tcPr>
            <w:tcW w:w="2410" w:type="dxa"/>
            <w:tcBorders>
              <w:top w:val="nil"/>
              <w:left w:val="nil"/>
              <w:bottom w:val="single" w:sz="4" w:space="0" w:color="auto"/>
              <w:right w:val="single" w:sz="4" w:space="0" w:color="auto"/>
            </w:tcBorders>
            <w:vAlign w:val="center"/>
            <w:hideMark/>
          </w:tcPr>
          <w:p w14:paraId="33AE528B" w14:textId="77777777" w:rsidR="003756D0" w:rsidRPr="000B09CF" w:rsidRDefault="003756D0" w:rsidP="00C172A9">
            <w:pPr>
              <w:ind w:firstLine="0"/>
              <w:jc w:val="right"/>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15.629.571,00</w:t>
            </w:r>
          </w:p>
        </w:tc>
        <w:tc>
          <w:tcPr>
            <w:tcW w:w="2693" w:type="dxa"/>
            <w:tcBorders>
              <w:top w:val="nil"/>
              <w:left w:val="nil"/>
              <w:bottom w:val="single" w:sz="4" w:space="0" w:color="auto"/>
              <w:right w:val="single" w:sz="4" w:space="0" w:color="auto"/>
            </w:tcBorders>
            <w:vAlign w:val="center"/>
            <w:hideMark/>
          </w:tcPr>
          <w:p w14:paraId="41A15CFD" w14:textId="77777777" w:rsidR="003756D0" w:rsidRPr="000B09CF" w:rsidRDefault="003756D0" w:rsidP="00C172A9">
            <w:pPr>
              <w:ind w:firstLine="0"/>
              <w:jc w:val="center"/>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0,24%</w:t>
            </w:r>
          </w:p>
        </w:tc>
      </w:tr>
      <w:tr w:rsidR="003756D0" w:rsidRPr="000B09CF" w14:paraId="1ADE1FC6" w14:textId="77777777" w:rsidTr="0086751B">
        <w:trPr>
          <w:trHeight w:val="384"/>
          <w:jc w:val="center"/>
        </w:trPr>
        <w:tc>
          <w:tcPr>
            <w:tcW w:w="3402" w:type="dxa"/>
            <w:tcBorders>
              <w:top w:val="nil"/>
              <w:left w:val="single" w:sz="4" w:space="0" w:color="auto"/>
              <w:bottom w:val="single" w:sz="4" w:space="0" w:color="auto"/>
              <w:right w:val="single" w:sz="4" w:space="0" w:color="auto"/>
            </w:tcBorders>
            <w:vAlign w:val="center"/>
            <w:hideMark/>
          </w:tcPr>
          <w:p w14:paraId="4F388C4E" w14:textId="77777777" w:rsidR="003756D0" w:rsidRPr="000B09CF" w:rsidRDefault="003756D0" w:rsidP="00867B58">
            <w:pPr>
              <w:ind w:firstLine="0"/>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RPNP Inscrito no Exercício</w:t>
            </w:r>
            <w:r w:rsidRPr="000B09CF">
              <w:rPr>
                <w:rFonts w:ascii="Times New Roman" w:eastAsia="Times New Roman" w:hAnsi="Times New Roman" w:cs="Times New Roman"/>
                <w:color w:val="000000"/>
                <w:sz w:val="20"/>
                <w:szCs w:val="20"/>
                <w:vertAlign w:val="superscript"/>
                <w:lang w:eastAsia="pt-BR"/>
              </w:rPr>
              <w:t>2</w:t>
            </w:r>
          </w:p>
        </w:tc>
        <w:tc>
          <w:tcPr>
            <w:tcW w:w="2410" w:type="dxa"/>
            <w:tcBorders>
              <w:top w:val="nil"/>
              <w:left w:val="nil"/>
              <w:bottom w:val="single" w:sz="4" w:space="0" w:color="auto"/>
              <w:right w:val="single" w:sz="4" w:space="0" w:color="auto"/>
            </w:tcBorders>
            <w:vAlign w:val="center"/>
            <w:hideMark/>
          </w:tcPr>
          <w:p w14:paraId="476B6B45" w14:textId="77777777" w:rsidR="003756D0" w:rsidRPr="000B09CF" w:rsidRDefault="003756D0" w:rsidP="00C172A9">
            <w:pPr>
              <w:ind w:firstLine="0"/>
              <w:jc w:val="right"/>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256.712.260,60</w:t>
            </w:r>
          </w:p>
        </w:tc>
        <w:tc>
          <w:tcPr>
            <w:tcW w:w="2693" w:type="dxa"/>
            <w:tcBorders>
              <w:top w:val="nil"/>
              <w:left w:val="nil"/>
              <w:bottom w:val="single" w:sz="4" w:space="0" w:color="auto"/>
              <w:right w:val="single" w:sz="4" w:space="0" w:color="auto"/>
            </w:tcBorders>
            <w:vAlign w:val="center"/>
            <w:hideMark/>
          </w:tcPr>
          <w:p w14:paraId="7EFF1539" w14:textId="77777777" w:rsidR="003756D0" w:rsidRPr="000B09CF" w:rsidRDefault="003756D0" w:rsidP="00C172A9">
            <w:pPr>
              <w:ind w:firstLine="0"/>
              <w:jc w:val="center"/>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3,93%</w:t>
            </w:r>
          </w:p>
        </w:tc>
      </w:tr>
      <w:tr w:rsidR="003756D0" w:rsidRPr="000B09CF" w14:paraId="0E84ED6D" w14:textId="77777777" w:rsidTr="0086751B">
        <w:trPr>
          <w:trHeight w:val="384"/>
          <w:jc w:val="center"/>
        </w:trPr>
        <w:tc>
          <w:tcPr>
            <w:tcW w:w="3402" w:type="dxa"/>
            <w:tcBorders>
              <w:top w:val="nil"/>
              <w:left w:val="single" w:sz="4" w:space="0" w:color="auto"/>
              <w:bottom w:val="single" w:sz="4" w:space="0" w:color="auto"/>
              <w:right w:val="single" w:sz="4" w:space="0" w:color="auto"/>
            </w:tcBorders>
            <w:vAlign w:val="center"/>
            <w:hideMark/>
          </w:tcPr>
          <w:p w14:paraId="5675B057" w14:textId="77777777" w:rsidR="003756D0" w:rsidRPr="000B09CF" w:rsidRDefault="003756D0" w:rsidP="00867B58">
            <w:pPr>
              <w:ind w:firstLine="0"/>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 xml:space="preserve">RPNP Pagos </w:t>
            </w:r>
            <w:r w:rsidRPr="000B09CF">
              <w:rPr>
                <w:rFonts w:ascii="Times New Roman" w:eastAsia="Times New Roman" w:hAnsi="Times New Roman" w:cs="Times New Roman"/>
                <w:color w:val="000000"/>
                <w:sz w:val="20"/>
                <w:szCs w:val="20"/>
                <w:vertAlign w:val="superscript"/>
                <w:lang w:eastAsia="pt-BR"/>
              </w:rPr>
              <w:t>3</w:t>
            </w:r>
          </w:p>
        </w:tc>
        <w:tc>
          <w:tcPr>
            <w:tcW w:w="2410" w:type="dxa"/>
            <w:tcBorders>
              <w:top w:val="nil"/>
              <w:left w:val="nil"/>
              <w:bottom w:val="single" w:sz="4" w:space="0" w:color="auto"/>
              <w:right w:val="single" w:sz="4" w:space="0" w:color="auto"/>
            </w:tcBorders>
            <w:vAlign w:val="center"/>
            <w:hideMark/>
          </w:tcPr>
          <w:p w14:paraId="7BFAE965" w14:textId="77777777" w:rsidR="003756D0" w:rsidRPr="000B09CF" w:rsidRDefault="003756D0" w:rsidP="00C172A9">
            <w:pPr>
              <w:ind w:firstLine="0"/>
              <w:jc w:val="right"/>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230.146.807,37</w:t>
            </w:r>
          </w:p>
        </w:tc>
        <w:tc>
          <w:tcPr>
            <w:tcW w:w="2693" w:type="dxa"/>
            <w:tcBorders>
              <w:top w:val="nil"/>
              <w:left w:val="nil"/>
              <w:bottom w:val="single" w:sz="4" w:space="0" w:color="auto"/>
              <w:right w:val="single" w:sz="4" w:space="0" w:color="auto"/>
            </w:tcBorders>
            <w:vAlign w:val="center"/>
            <w:hideMark/>
          </w:tcPr>
          <w:p w14:paraId="63D8C831" w14:textId="77777777" w:rsidR="003756D0" w:rsidRPr="000B09CF" w:rsidRDefault="003756D0" w:rsidP="00C172A9">
            <w:pPr>
              <w:ind w:firstLine="0"/>
              <w:jc w:val="center"/>
              <w:rPr>
                <w:rFonts w:ascii="Times New Roman" w:eastAsia="Times New Roman" w:hAnsi="Times New Roman" w:cs="Times New Roman"/>
                <w:color w:val="000000"/>
                <w:sz w:val="20"/>
                <w:szCs w:val="20"/>
                <w:lang w:eastAsia="pt-BR"/>
              </w:rPr>
            </w:pPr>
            <w:r w:rsidRPr="000B09CF">
              <w:rPr>
                <w:rFonts w:ascii="Times New Roman" w:eastAsia="Times New Roman" w:hAnsi="Times New Roman" w:cs="Times New Roman"/>
                <w:color w:val="000000"/>
                <w:sz w:val="20"/>
                <w:szCs w:val="20"/>
                <w:lang w:eastAsia="pt-BR"/>
              </w:rPr>
              <w:t>-</w:t>
            </w:r>
          </w:p>
        </w:tc>
      </w:tr>
    </w:tbl>
    <w:p w14:paraId="591E1337" w14:textId="7F6412C0" w:rsidR="00A61C3A" w:rsidRPr="000C5C1C" w:rsidRDefault="00070075" w:rsidP="002E7DDF">
      <w:pPr>
        <w:ind w:left="454" w:right="45"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lang w:eastAsia="pt-BR"/>
        </w:rPr>
        <w:t xml:space="preserve">      </w:t>
      </w:r>
      <w:r w:rsidR="00CC7752">
        <w:rPr>
          <w:rFonts w:ascii="Times New Roman" w:eastAsia="Times New Roman" w:hAnsi="Times New Roman" w:cs="Times New Roman"/>
          <w:color w:val="000000"/>
          <w:sz w:val="20"/>
          <w:szCs w:val="20"/>
          <w:lang w:eastAsia="pt-BR"/>
        </w:rPr>
        <w:t>Fonte: SIAFI</w:t>
      </w:r>
      <w:r w:rsidR="00607282">
        <w:rPr>
          <w:rFonts w:ascii="Times New Roman" w:eastAsia="Times New Roman" w:hAnsi="Times New Roman" w:cs="Times New Roman"/>
          <w:color w:val="000000"/>
          <w:sz w:val="20"/>
          <w:szCs w:val="20"/>
          <w:lang w:eastAsia="pt-BR"/>
        </w:rPr>
        <w:t xml:space="preserve"> 202</w:t>
      </w:r>
      <w:r w:rsidR="004F3904">
        <w:rPr>
          <w:rFonts w:ascii="Times New Roman" w:eastAsia="Times New Roman" w:hAnsi="Times New Roman" w:cs="Times New Roman"/>
          <w:color w:val="000000"/>
          <w:sz w:val="20"/>
          <w:szCs w:val="20"/>
          <w:lang w:eastAsia="pt-BR"/>
        </w:rPr>
        <w:t>5</w:t>
      </w:r>
    </w:p>
    <w:p w14:paraId="71D3FCA5" w14:textId="7C94378A" w:rsidR="00A61C3A" w:rsidRPr="000C5C1C" w:rsidRDefault="00070075" w:rsidP="002E7DDF">
      <w:pPr>
        <w:ind w:left="454" w:right="45"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vertAlign w:val="superscript"/>
          <w:lang w:eastAsia="pt-BR"/>
        </w:rPr>
        <w:t xml:space="preserve">         </w:t>
      </w:r>
      <w:r w:rsidR="00A61C3A" w:rsidRPr="000C5C1C">
        <w:rPr>
          <w:rFonts w:ascii="Times New Roman" w:eastAsia="Times New Roman" w:hAnsi="Times New Roman" w:cs="Times New Roman"/>
          <w:color w:val="000000"/>
          <w:sz w:val="20"/>
          <w:szCs w:val="20"/>
          <w:vertAlign w:val="superscript"/>
          <w:lang w:eastAsia="pt-BR"/>
        </w:rPr>
        <w:t>1</w:t>
      </w:r>
      <w:r w:rsidR="00A61C3A" w:rsidRPr="000C5C1C">
        <w:rPr>
          <w:rFonts w:ascii="Times New Roman" w:eastAsia="Times New Roman" w:hAnsi="Times New Roman" w:cs="Times New Roman"/>
          <w:color w:val="000000"/>
          <w:sz w:val="20"/>
          <w:szCs w:val="20"/>
          <w:lang w:eastAsia="pt-BR"/>
        </w:rPr>
        <w:t xml:space="preserve"> RPP - Restos a Pagar Processad</w:t>
      </w:r>
      <w:r w:rsidR="00316E9C">
        <w:rPr>
          <w:rFonts w:ascii="Times New Roman" w:eastAsia="Times New Roman" w:hAnsi="Times New Roman" w:cs="Times New Roman"/>
          <w:color w:val="000000"/>
          <w:sz w:val="20"/>
          <w:szCs w:val="20"/>
          <w:lang w:eastAsia="pt-BR"/>
        </w:rPr>
        <w:t>os: valores do orçamento de 202</w:t>
      </w:r>
      <w:r w:rsidR="0071639F">
        <w:rPr>
          <w:rFonts w:ascii="Times New Roman" w:eastAsia="Times New Roman" w:hAnsi="Times New Roman" w:cs="Times New Roman"/>
          <w:color w:val="000000"/>
          <w:sz w:val="20"/>
          <w:szCs w:val="20"/>
          <w:lang w:eastAsia="pt-BR"/>
        </w:rPr>
        <w:t>5</w:t>
      </w:r>
      <w:r w:rsidR="00607282">
        <w:rPr>
          <w:rFonts w:ascii="Times New Roman" w:eastAsia="Times New Roman" w:hAnsi="Times New Roman" w:cs="Times New Roman"/>
          <w:color w:val="000000"/>
          <w:sz w:val="20"/>
          <w:szCs w:val="20"/>
          <w:lang w:eastAsia="pt-BR"/>
        </w:rPr>
        <w:t xml:space="preserve"> inscritos para 202</w:t>
      </w:r>
      <w:r w:rsidR="0071639F">
        <w:rPr>
          <w:rFonts w:ascii="Times New Roman" w:eastAsia="Times New Roman" w:hAnsi="Times New Roman" w:cs="Times New Roman"/>
          <w:color w:val="000000"/>
          <w:sz w:val="20"/>
          <w:szCs w:val="20"/>
          <w:lang w:eastAsia="pt-BR"/>
        </w:rPr>
        <w:t>6</w:t>
      </w:r>
    </w:p>
    <w:p w14:paraId="6C9033B5" w14:textId="5E5664B7" w:rsidR="00A61C3A" w:rsidRPr="000C5C1C" w:rsidRDefault="00070075" w:rsidP="002E7DDF">
      <w:pPr>
        <w:ind w:left="454" w:right="45"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vertAlign w:val="superscript"/>
          <w:lang w:eastAsia="pt-BR"/>
        </w:rPr>
        <w:t xml:space="preserve">         </w:t>
      </w:r>
      <w:r w:rsidR="00A61C3A" w:rsidRPr="000C5C1C">
        <w:rPr>
          <w:rFonts w:ascii="Times New Roman" w:eastAsia="Times New Roman" w:hAnsi="Times New Roman" w:cs="Times New Roman"/>
          <w:color w:val="000000"/>
          <w:sz w:val="20"/>
          <w:szCs w:val="20"/>
          <w:vertAlign w:val="superscript"/>
          <w:lang w:eastAsia="pt-BR"/>
        </w:rPr>
        <w:t>2</w:t>
      </w:r>
      <w:r w:rsidR="00A61C3A" w:rsidRPr="000C5C1C">
        <w:rPr>
          <w:rFonts w:ascii="Times New Roman" w:eastAsia="Times New Roman" w:hAnsi="Times New Roman" w:cs="Times New Roman"/>
          <w:color w:val="000000"/>
          <w:sz w:val="20"/>
          <w:szCs w:val="20"/>
          <w:lang w:eastAsia="pt-BR"/>
        </w:rPr>
        <w:t xml:space="preserve"> RPNP - Restos a Pagar Não Processad</w:t>
      </w:r>
      <w:r w:rsidR="00316E9C">
        <w:rPr>
          <w:rFonts w:ascii="Times New Roman" w:eastAsia="Times New Roman" w:hAnsi="Times New Roman" w:cs="Times New Roman"/>
          <w:color w:val="000000"/>
          <w:sz w:val="20"/>
          <w:szCs w:val="20"/>
          <w:lang w:eastAsia="pt-BR"/>
        </w:rPr>
        <w:t>os: valores do orçamento de 202</w:t>
      </w:r>
      <w:r w:rsidR="0071639F">
        <w:rPr>
          <w:rFonts w:ascii="Times New Roman" w:eastAsia="Times New Roman" w:hAnsi="Times New Roman" w:cs="Times New Roman"/>
          <w:color w:val="000000"/>
          <w:sz w:val="20"/>
          <w:szCs w:val="20"/>
          <w:lang w:eastAsia="pt-BR"/>
        </w:rPr>
        <w:t>5</w:t>
      </w:r>
      <w:r w:rsidR="00607282">
        <w:rPr>
          <w:rFonts w:ascii="Times New Roman" w:eastAsia="Times New Roman" w:hAnsi="Times New Roman" w:cs="Times New Roman"/>
          <w:color w:val="000000"/>
          <w:sz w:val="20"/>
          <w:szCs w:val="20"/>
          <w:lang w:eastAsia="pt-BR"/>
        </w:rPr>
        <w:t xml:space="preserve"> inscritos para 202</w:t>
      </w:r>
      <w:r w:rsidR="0071639F">
        <w:rPr>
          <w:rFonts w:ascii="Times New Roman" w:eastAsia="Times New Roman" w:hAnsi="Times New Roman" w:cs="Times New Roman"/>
          <w:color w:val="000000"/>
          <w:sz w:val="20"/>
          <w:szCs w:val="20"/>
          <w:lang w:eastAsia="pt-BR"/>
        </w:rPr>
        <w:t>6</w:t>
      </w:r>
    </w:p>
    <w:p w14:paraId="731CAB00" w14:textId="447703DD" w:rsidR="00F61423" w:rsidRDefault="00070075" w:rsidP="002E7DDF">
      <w:pPr>
        <w:ind w:left="454" w:right="45"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themeColor="text1"/>
          <w:sz w:val="20"/>
          <w:szCs w:val="20"/>
          <w:vertAlign w:val="superscript"/>
          <w:lang w:eastAsia="pt-BR"/>
        </w:rPr>
        <w:t xml:space="preserve">         </w:t>
      </w:r>
      <w:r w:rsidR="5551D1CE" w:rsidRPr="7CD3D9F9">
        <w:rPr>
          <w:rFonts w:ascii="Times New Roman" w:eastAsia="Times New Roman" w:hAnsi="Times New Roman" w:cs="Times New Roman"/>
          <w:color w:val="000000" w:themeColor="text1"/>
          <w:sz w:val="20"/>
          <w:szCs w:val="20"/>
          <w:vertAlign w:val="superscript"/>
          <w:lang w:eastAsia="pt-BR"/>
        </w:rPr>
        <w:t>3</w:t>
      </w:r>
      <w:r w:rsidR="5551D1CE" w:rsidRPr="7CD3D9F9">
        <w:rPr>
          <w:rFonts w:ascii="Times New Roman" w:eastAsia="Times New Roman" w:hAnsi="Times New Roman" w:cs="Times New Roman"/>
          <w:color w:val="000000" w:themeColor="text1"/>
          <w:sz w:val="20"/>
          <w:szCs w:val="20"/>
          <w:lang w:eastAsia="pt-BR"/>
        </w:rPr>
        <w:t xml:space="preserve"> Refere-se </w:t>
      </w:r>
      <w:r w:rsidR="000A35AE">
        <w:rPr>
          <w:rFonts w:ascii="Times New Roman" w:eastAsia="Times New Roman" w:hAnsi="Times New Roman" w:cs="Times New Roman"/>
          <w:color w:val="000000" w:themeColor="text1"/>
          <w:sz w:val="20"/>
          <w:szCs w:val="20"/>
          <w:lang w:eastAsia="pt-BR"/>
        </w:rPr>
        <w:t>a</w:t>
      </w:r>
      <w:r w:rsidR="00221EA9">
        <w:rPr>
          <w:rFonts w:ascii="Times New Roman" w:eastAsia="Times New Roman" w:hAnsi="Times New Roman" w:cs="Times New Roman"/>
          <w:color w:val="000000" w:themeColor="text1"/>
          <w:sz w:val="20"/>
          <w:szCs w:val="20"/>
          <w:lang w:eastAsia="pt-BR"/>
        </w:rPr>
        <w:t xml:space="preserve">os RPNP dos orçamentos de </w:t>
      </w:r>
      <w:r w:rsidR="5551D1CE" w:rsidRPr="7CD3D9F9">
        <w:rPr>
          <w:rFonts w:ascii="Times New Roman" w:eastAsia="Times New Roman" w:hAnsi="Times New Roman" w:cs="Times New Roman"/>
          <w:color w:val="000000" w:themeColor="text1"/>
          <w:sz w:val="20"/>
          <w:szCs w:val="20"/>
          <w:lang w:eastAsia="pt-BR"/>
        </w:rPr>
        <w:t>202</w:t>
      </w:r>
      <w:r w:rsidR="006211F6">
        <w:rPr>
          <w:rFonts w:ascii="Times New Roman" w:eastAsia="Times New Roman" w:hAnsi="Times New Roman" w:cs="Times New Roman"/>
          <w:color w:val="000000" w:themeColor="text1"/>
          <w:sz w:val="20"/>
          <w:szCs w:val="20"/>
          <w:lang w:eastAsia="pt-BR"/>
        </w:rPr>
        <w:t>2, 2023</w:t>
      </w:r>
      <w:r w:rsidR="0030238F">
        <w:rPr>
          <w:rFonts w:ascii="Times New Roman" w:eastAsia="Times New Roman" w:hAnsi="Times New Roman" w:cs="Times New Roman"/>
          <w:color w:val="000000" w:themeColor="text1"/>
          <w:sz w:val="20"/>
          <w:szCs w:val="20"/>
          <w:lang w:eastAsia="pt-BR"/>
        </w:rPr>
        <w:t xml:space="preserve"> e 202</w:t>
      </w:r>
      <w:r w:rsidR="006211F6">
        <w:rPr>
          <w:rFonts w:ascii="Times New Roman" w:eastAsia="Times New Roman" w:hAnsi="Times New Roman" w:cs="Times New Roman"/>
          <w:color w:val="000000" w:themeColor="text1"/>
          <w:sz w:val="20"/>
          <w:szCs w:val="20"/>
          <w:lang w:eastAsia="pt-BR"/>
        </w:rPr>
        <w:t>4</w:t>
      </w:r>
      <w:r w:rsidR="0030238F">
        <w:rPr>
          <w:rFonts w:ascii="Times New Roman" w:eastAsia="Times New Roman" w:hAnsi="Times New Roman" w:cs="Times New Roman"/>
          <w:color w:val="000000" w:themeColor="text1"/>
          <w:sz w:val="20"/>
          <w:szCs w:val="20"/>
          <w:lang w:eastAsia="pt-BR"/>
        </w:rPr>
        <w:t xml:space="preserve"> pagos em 202</w:t>
      </w:r>
      <w:r w:rsidR="006211F6">
        <w:rPr>
          <w:rFonts w:ascii="Times New Roman" w:eastAsia="Times New Roman" w:hAnsi="Times New Roman" w:cs="Times New Roman"/>
          <w:color w:val="000000" w:themeColor="text1"/>
          <w:sz w:val="20"/>
          <w:szCs w:val="20"/>
          <w:lang w:eastAsia="pt-BR"/>
        </w:rPr>
        <w:t>5</w:t>
      </w:r>
    </w:p>
    <w:p w14:paraId="239282AE" w14:textId="77777777" w:rsidR="00571BA2" w:rsidRDefault="00571BA2" w:rsidP="00571BA2">
      <w:pPr>
        <w:ind w:right="119"/>
        <w:jc w:val="both"/>
        <w:rPr>
          <w:rFonts w:ascii="Times New Roman" w:eastAsia="Times New Roman" w:hAnsi="Times New Roman" w:cs="Times New Roman"/>
          <w:color w:val="000000"/>
          <w:sz w:val="24"/>
          <w:szCs w:val="24"/>
          <w:lang w:eastAsia="pt-BR"/>
        </w:rPr>
      </w:pPr>
    </w:p>
    <w:p w14:paraId="2DD90FC5" w14:textId="30074FF0" w:rsidR="00517D04" w:rsidRPr="009D0988" w:rsidRDefault="00A61C3A" w:rsidP="00E23F63">
      <w:pPr>
        <w:spacing w:before="240"/>
        <w:ind w:right="120" w:firstLine="708"/>
        <w:jc w:val="both"/>
        <w:rPr>
          <w:rFonts w:ascii="Times New Roman" w:eastAsia="Times New Roman" w:hAnsi="Times New Roman" w:cs="Times New Roman"/>
          <w:sz w:val="24"/>
          <w:szCs w:val="24"/>
          <w:lang w:eastAsia="pt-BR"/>
        </w:rPr>
      </w:pPr>
      <w:r w:rsidRPr="00F53C75">
        <w:rPr>
          <w:rFonts w:ascii="Times New Roman" w:eastAsia="Times New Roman" w:hAnsi="Times New Roman" w:cs="Times New Roman"/>
          <w:color w:val="000000"/>
          <w:sz w:val="24"/>
          <w:szCs w:val="24"/>
          <w:lang w:eastAsia="pt-BR"/>
        </w:rPr>
        <w:t xml:space="preserve">Quanto à execução da despesa por Grupo de Natureza - GN, </w:t>
      </w:r>
      <w:r w:rsidR="00517D04">
        <w:rPr>
          <w:rFonts w:ascii="Times New Roman" w:eastAsia="Times New Roman" w:hAnsi="Times New Roman" w:cs="Times New Roman"/>
          <w:color w:val="000000"/>
          <w:sz w:val="24"/>
          <w:szCs w:val="24"/>
          <w:lang w:eastAsia="pt-BR"/>
        </w:rPr>
        <w:t>considerando</w:t>
      </w:r>
      <w:r w:rsidR="00647C99">
        <w:rPr>
          <w:rFonts w:ascii="Times New Roman" w:eastAsia="Times New Roman" w:hAnsi="Times New Roman" w:cs="Times New Roman"/>
          <w:color w:val="000000"/>
          <w:sz w:val="24"/>
          <w:szCs w:val="24"/>
          <w:lang w:eastAsia="pt-BR"/>
        </w:rPr>
        <w:t>-se</w:t>
      </w:r>
      <w:r w:rsidR="00517D04">
        <w:rPr>
          <w:rFonts w:ascii="Times New Roman" w:eastAsia="Times New Roman" w:hAnsi="Times New Roman" w:cs="Times New Roman"/>
          <w:color w:val="000000"/>
          <w:sz w:val="24"/>
          <w:szCs w:val="24"/>
          <w:lang w:eastAsia="pt-BR"/>
        </w:rPr>
        <w:t xml:space="preserve"> os gastos para funcionamento das atividades finalísticas e de suporte da Justiça Federal da 6ª Região, </w:t>
      </w:r>
      <w:r w:rsidRPr="00F53C75">
        <w:rPr>
          <w:rFonts w:ascii="Times New Roman" w:eastAsia="Times New Roman" w:hAnsi="Times New Roman" w:cs="Times New Roman"/>
          <w:color w:val="000000"/>
          <w:sz w:val="24"/>
          <w:szCs w:val="24"/>
          <w:lang w:eastAsia="pt-BR"/>
        </w:rPr>
        <w:t>verifica-se no Gráfico 1 que o grupo com maior representatividade é o grupo 1 - Pessoal e Encargos Sociais</w:t>
      </w:r>
      <w:r w:rsidR="00925AAB">
        <w:rPr>
          <w:rFonts w:ascii="Times New Roman" w:eastAsia="Times New Roman" w:hAnsi="Times New Roman" w:cs="Times New Roman"/>
          <w:color w:val="000000"/>
          <w:sz w:val="24"/>
          <w:szCs w:val="24"/>
          <w:lang w:eastAsia="pt-BR"/>
        </w:rPr>
        <w:t>,</w:t>
      </w:r>
      <w:r w:rsidRPr="00F53C75">
        <w:rPr>
          <w:rFonts w:ascii="Times New Roman" w:eastAsia="Times New Roman" w:hAnsi="Times New Roman" w:cs="Times New Roman"/>
          <w:color w:val="000000"/>
          <w:sz w:val="24"/>
          <w:szCs w:val="24"/>
          <w:lang w:eastAsia="pt-BR"/>
        </w:rPr>
        <w:t xml:space="preserve"> representando </w:t>
      </w:r>
      <w:r w:rsidR="00565682">
        <w:rPr>
          <w:rFonts w:ascii="Times New Roman" w:eastAsia="Times New Roman" w:hAnsi="Times New Roman" w:cs="Times New Roman"/>
          <w:color w:val="000000"/>
          <w:sz w:val="24"/>
          <w:szCs w:val="24"/>
          <w:lang w:eastAsia="pt-BR"/>
        </w:rPr>
        <w:t>78,</w:t>
      </w:r>
      <w:r w:rsidR="00E66A15">
        <w:rPr>
          <w:rFonts w:ascii="Times New Roman" w:eastAsia="Times New Roman" w:hAnsi="Times New Roman" w:cs="Times New Roman"/>
          <w:color w:val="000000"/>
          <w:sz w:val="24"/>
          <w:szCs w:val="24"/>
          <w:lang w:eastAsia="pt-BR"/>
        </w:rPr>
        <w:t>79</w:t>
      </w:r>
      <w:r w:rsidRPr="00F53C75">
        <w:rPr>
          <w:rFonts w:ascii="Times New Roman" w:eastAsia="Times New Roman" w:hAnsi="Times New Roman" w:cs="Times New Roman"/>
          <w:color w:val="000000"/>
          <w:sz w:val="24"/>
          <w:szCs w:val="24"/>
          <w:lang w:eastAsia="pt-BR"/>
        </w:rPr>
        <w:t>% das despesas liquidadas.</w:t>
      </w:r>
      <w:bookmarkStart w:id="3" w:name="_Toc67063964"/>
      <w:r w:rsidR="008A717A" w:rsidDel="008A717A">
        <w:rPr>
          <w:rFonts w:ascii="Times New Roman" w:eastAsia="Times New Roman" w:hAnsi="Times New Roman" w:cs="Times New Roman"/>
          <w:sz w:val="24"/>
          <w:szCs w:val="24"/>
          <w:lang w:eastAsia="pt-BR"/>
        </w:rPr>
        <w:t xml:space="preserve"> </w:t>
      </w:r>
      <w:bookmarkEnd w:id="3"/>
    </w:p>
    <w:p w14:paraId="4823593F" w14:textId="77777777" w:rsidR="00571BA2" w:rsidRDefault="00571BA2" w:rsidP="00C117A1">
      <w:pPr>
        <w:ind w:right="119" w:firstLine="0"/>
        <w:rPr>
          <w:rFonts w:ascii="Times New Roman" w:eastAsia="Times New Roman" w:hAnsi="Times New Roman" w:cs="Times New Roman"/>
          <w:b/>
          <w:bCs/>
          <w:color w:val="000000"/>
          <w:lang w:eastAsia="pt-BR"/>
        </w:rPr>
      </w:pPr>
    </w:p>
    <w:p w14:paraId="6440796A" w14:textId="77777777" w:rsidR="00571BA2" w:rsidRDefault="00571BA2" w:rsidP="005F2422">
      <w:pPr>
        <w:ind w:right="119" w:firstLine="0"/>
        <w:jc w:val="center"/>
        <w:rPr>
          <w:rFonts w:ascii="Times New Roman" w:eastAsia="Times New Roman" w:hAnsi="Times New Roman" w:cs="Times New Roman"/>
          <w:b/>
          <w:bCs/>
          <w:color w:val="000000"/>
          <w:lang w:eastAsia="pt-BR"/>
        </w:rPr>
      </w:pPr>
    </w:p>
    <w:p w14:paraId="307D1B19" w14:textId="0F239CBB" w:rsidR="00B86B7F" w:rsidRPr="00C47BED" w:rsidRDefault="00176478" w:rsidP="005F2422">
      <w:pPr>
        <w:ind w:right="119" w:firstLine="0"/>
        <w:jc w:val="center"/>
        <w:rPr>
          <w:rFonts w:ascii="Times New Roman" w:eastAsia="Times New Roman" w:hAnsi="Times New Roman" w:cs="Times New Roman"/>
          <w:color w:val="000000"/>
          <w:lang w:eastAsia="pt-BR"/>
        </w:rPr>
      </w:pPr>
      <w:r w:rsidRPr="00C47BED">
        <w:rPr>
          <w:rFonts w:ascii="Times New Roman" w:eastAsia="Times New Roman" w:hAnsi="Times New Roman" w:cs="Times New Roman"/>
          <w:b/>
          <w:bCs/>
          <w:color w:val="000000"/>
          <w:lang w:eastAsia="pt-BR"/>
        </w:rPr>
        <w:t>Gráfico 1 – Despesa Liquidada</w:t>
      </w:r>
      <w:r w:rsidR="00517D04" w:rsidRPr="00C47BED">
        <w:rPr>
          <w:rFonts w:ascii="Times New Roman" w:eastAsia="Times New Roman" w:hAnsi="Times New Roman" w:cs="Times New Roman"/>
          <w:b/>
          <w:bCs/>
          <w:color w:val="000000"/>
          <w:vertAlign w:val="superscript"/>
          <w:lang w:eastAsia="pt-BR"/>
        </w:rPr>
        <w:t>1</w:t>
      </w:r>
      <w:r w:rsidRPr="00C47BED">
        <w:rPr>
          <w:rFonts w:ascii="Times New Roman" w:eastAsia="Times New Roman" w:hAnsi="Times New Roman" w:cs="Times New Roman"/>
          <w:b/>
          <w:bCs/>
          <w:color w:val="000000"/>
          <w:lang w:eastAsia="pt-BR"/>
        </w:rPr>
        <w:t xml:space="preserve"> – por grupo de natureza – (R$)</w:t>
      </w:r>
    </w:p>
    <w:p w14:paraId="4A8557BC" w14:textId="784E65EC" w:rsidR="00D33474" w:rsidRDefault="008A61CF" w:rsidP="005F2422">
      <w:pPr>
        <w:ind w:right="120" w:firstLine="0"/>
        <w:jc w:val="center"/>
        <w:rPr>
          <w:rFonts w:ascii="Times New Roman" w:eastAsia="Times New Roman" w:hAnsi="Times New Roman" w:cs="Times New Roman"/>
          <w:sz w:val="20"/>
          <w:szCs w:val="20"/>
          <w:lang w:eastAsia="pt-BR"/>
        </w:rPr>
      </w:pPr>
      <w:r w:rsidRPr="008A61CF">
        <w:rPr>
          <w:rFonts w:ascii="Times New Roman" w:eastAsia="Times New Roman" w:hAnsi="Times New Roman" w:cs="Times New Roman"/>
          <w:noProof/>
          <w:sz w:val="20"/>
          <w:szCs w:val="20"/>
          <w:lang w:eastAsia="pt-BR"/>
        </w:rPr>
        <mc:AlternateContent>
          <mc:Choice Requires="wps">
            <w:drawing>
              <wp:anchor distT="0" distB="0" distL="114300" distR="114300" simplePos="0" relativeHeight="251658240" behindDoc="1" locked="0" layoutInCell="1" allowOverlap="1" wp14:anchorId="7C0C7EB3" wp14:editId="088D9A47">
                <wp:simplePos x="0" y="0"/>
                <wp:positionH relativeFrom="page">
                  <wp:posOffset>990282</wp:posOffset>
                </wp:positionH>
                <wp:positionV relativeFrom="paragraph">
                  <wp:posOffset>2291715</wp:posOffset>
                </wp:positionV>
                <wp:extent cx="4564800" cy="417600"/>
                <wp:effectExtent l="0" t="0" r="7620" b="190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800" cy="417600"/>
                        </a:xfrm>
                        <a:prstGeom prst="rect">
                          <a:avLst/>
                        </a:prstGeom>
                        <a:solidFill>
                          <a:srgbClr val="FFFFFF"/>
                        </a:solidFill>
                        <a:ln w="9525">
                          <a:noFill/>
                          <a:miter lim="800000"/>
                          <a:headEnd/>
                          <a:tailEnd/>
                        </a:ln>
                      </wps:spPr>
                      <wps:txbx>
                        <w:txbxContent>
                          <w:p w14:paraId="3CEC3703" w14:textId="47371880" w:rsidR="00B567FD" w:rsidRPr="00513A18" w:rsidRDefault="00B567FD" w:rsidP="008A61CF">
                            <w:pPr>
                              <w:ind w:right="119"/>
                              <w:jc w:val="both"/>
                              <w:rPr>
                                <w:rFonts w:ascii="Times New Roman" w:eastAsia="Times New Roman" w:hAnsi="Times New Roman" w:cs="Times New Roman"/>
                                <w:sz w:val="20"/>
                                <w:szCs w:val="20"/>
                                <w:vertAlign w:val="superscript"/>
                                <w:lang w:eastAsia="pt-BR"/>
                              </w:rPr>
                            </w:pPr>
                            <w:r w:rsidRPr="00513A18">
                              <w:rPr>
                                <w:rFonts w:ascii="Times New Roman" w:eastAsia="Times New Roman" w:hAnsi="Times New Roman" w:cs="Times New Roman"/>
                                <w:sz w:val="20"/>
                                <w:szCs w:val="20"/>
                                <w:lang w:eastAsia="pt-BR"/>
                              </w:rPr>
                              <w:t>Fonte: SIAFI 202</w:t>
                            </w:r>
                            <w:r w:rsidR="003756D0">
                              <w:rPr>
                                <w:rFonts w:ascii="Times New Roman" w:eastAsia="Times New Roman" w:hAnsi="Times New Roman" w:cs="Times New Roman"/>
                                <w:sz w:val="20"/>
                                <w:szCs w:val="20"/>
                                <w:lang w:eastAsia="pt-BR"/>
                              </w:rPr>
                              <w:t>5</w:t>
                            </w:r>
                          </w:p>
                          <w:p w14:paraId="4D074861" w14:textId="77777777" w:rsidR="00B567FD" w:rsidRPr="00513A18" w:rsidRDefault="00B567FD" w:rsidP="008A61CF">
                            <w:pPr>
                              <w:ind w:right="119"/>
                              <w:jc w:val="both"/>
                              <w:rPr>
                                <w:rFonts w:ascii="Times New Roman" w:eastAsia="Times New Roman" w:hAnsi="Times New Roman" w:cs="Times New Roman"/>
                                <w:sz w:val="20"/>
                                <w:szCs w:val="20"/>
                                <w:vertAlign w:val="superscript"/>
                                <w:lang w:eastAsia="pt-BR"/>
                              </w:rPr>
                            </w:pPr>
                            <w:r w:rsidRPr="00513A18">
                              <w:rPr>
                                <w:rFonts w:ascii="Times New Roman" w:eastAsia="Times New Roman" w:hAnsi="Times New Roman" w:cs="Times New Roman"/>
                                <w:sz w:val="20"/>
                                <w:szCs w:val="20"/>
                                <w:vertAlign w:val="superscript"/>
                                <w:lang w:eastAsia="pt-BR"/>
                              </w:rPr>
                              <w:t>1</w:t>
                            </w:r>
                            <w:r w:rsidRPr="00513A18">
                              <w:rPr>
                                <w:rFonts w:ascii="Times New Roman" w:eastAsia="Times New Roman" w:hAnsi="Times New Roman" w:cs="Times New Roman"/>
                                <w:sz w:val="20"/>
                                <w:szCs w:val="20"/>
                                <w:lang w:eastAsia="pt-BR"/>
                              </w:rPr>
                              <w:t xml:space="preserve"> Excluídos os valores relativos aos Precatórios e RPVs</w:t>
                            </w:r>
                          </w:p>
                          <w:p w14:paraId="2B70865C" w14:textId="77777777" w:rsidR="00B567FD" w:rsidRDefault="00B567FD" w:rsidP="008A61C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C0C7EB3" id="_x0000_t202" coordsize="21600,21600" o:spt="202" path="m,l,21600r21600,l21600,xe">
                <v:stroke joinstyle="miter"/>
                <v:path gradientshapeok="t" o:connecttype="rect"/>
              </v:shapetype>
              <v:shape id="Caixa de Texto 2" o:spid="_x0000_s1026" type="#_x0000_t202" style="position:absolute;left:0;text-align:left;margin-left:77.95pt;margin-top:180.45pt;width:359.45pt;height:3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" stroked="f">
                <v:textbox>
                  <w:txbxContent>
                    <w:p w14:paraId="3CEC3703" w14:textId="47371880" w:rsidR="00B567FD" w:rsidRPr="00513A18" w:rsidRDefault="00B567FD" w:rsidP="008A61CF">
                      <w:pPr>
                        <w:ind w:right="119"/>
                        <w:jc w:val="both"/>
                        <w:rPr>
                          <w:rFonts w:ascii="Times New Roman" w:eastAsia="Times New Roman" w:hAnsi="Times New Roman" w:cs="Times New Roman"/>
                          <w:sz w:val="20"/>
                          <w:szCs w:val="20"/>
                          <w:vertAlign w:val="superscript"/>
                          <w:lang w:eastAsia="pt-BR"/>
                        </w:rPr>
                      </w:pPr>
                      <w:r w:rsidRPr="00513A18">
                        <w:rPr>
                          <w:rFonts w:ascii="Times New Roman" w:eastAsia="Times New Roman" w:hAnsi="Times New Roman" w:cs="Times New Roman"/>
                          <w:sz w:val="20"/>
                          <w:szCs w:val="20"/>
                          <w:lang w:eastAsia="pt-BR"/>
                        </w:rPr>
                        <w:t>Fonte: SIAFI 202</w:t>
                      </w:r>
                      <w:r w:rsidR="003756D0">
                        <w:rPr>
                          <w:rFonts w:ascii="Times New Roman" w:eastAsia="Times New Roman" w:hAnsi="Times New Roman" w:cs="Times New Roman"/>
                          <w:sz w:val="20"/>
                          <w:szCs w:val="20"/>
                          <w:lang w:eastAsia="pt-BR"/>
                        </w:rPr>
                        <w:t>5</w:t>
                      </w:r>
                    </w:p>
                    <w:p w14:paraId="4D074861" w14:textId="77777777" w:rsidR="00B567FD" w:rsidRPr="00513A18" w:rsidRDefault="00B567FD" w:rsidP="008A61CF">
                      <w:pPr>
                        <w:ind w:right="119"/>
                        <w:jc w:val="both"/>
                        <w:rPr>
                          <w:rFonts w:ascii="Times New Roman" w:eastAsia="Times New Roman" w:hAnsi="Times New Roman" w:cs="Times New Roman"/>
                          <w:sz w:val="20"/>
                          <w:szCs w:val="20"/>
                          <w:vertAlign w:val="superscript"/>
                          <w:lang w:eastAsia="pt-BR"/>
                        </w:rPr>
                      </w:pPr>
                      <w:r w:rsidRPr="00513A18">
                        <w:rPr>
                          <w:rFonts w:ascii="Times New Roman" w:eastAsia="Times New Roman" w:hAnsi="Times New Roman" w:cs="Times New Roman"/>
                          <w:sz w:val="20"/>
                          <w:szCs w:val="20"/>
                          <w:vertAlign w:val="superscript"/>
                          <w:lang w:eastAsia="pt-BR"/>
                        </w:rPr>
                        <w:t>1</w:t>
                      </w:r>
                      <w:r w:rsidRPr="00513A18">
                        <w:rPr>
                          <w:rFonts w:ascii="Times New Roman" w:eastAsia="Times New Roman" w:hAnsi="Times New Roman" w:cs="Times New Roman"/>
                          <w:sz w:val="20"/>
                          <w:szCs w:val="20"/>
                          <w:lang w:eastAsia="pt-BR"/>
                        </w:rPr>
                        <w:t xml:space="preserve"> Excluídos os valores relativos aos Precatórios e RPVs</w:t>
                      </w:r>
                    </w:p>
                    <w:p w14:paraId="2B70865C" w14:textId="77777777" w:rsidR="00B567FD" w:rsidRDefault="00B567FD" w:rsidP="008A61CF"/>
                  </w:txbxContent>
                </v:textbox>
                <w10:wrap anchorx="page"/>
              </v:shape>
            </w:pict>
          </mc:Fallback>
        </mc:AlternateContent>
      </w:r>
      <w:r w:rsidR="00F83BC3">
        <w:rPr>
          <w:noProof/>
        </w:rPr>
        <w:drawing>
          <wp:inline distT="0" distB="0" distL="0" distR="0" wp14:anchorId="72A8F6A8" wp14:editId="57794698">
            <wp:extent cx="5419725" cy="2240280"/>
            <wp:effectExtent l="95250" t="57150" r="104775" b="140970"/>
            <wp:docPr id="623644988"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883B656" w14:textId="77777777" w:rsidR="008F4BFD" w:rsidRDefault="001C170C" w:rsidP="00FD5E94">
      <w:pPr>
        <w:ind w:right="119" w:firstLine="0"/>
        <w:jc w:val="both"/>
        <w:rPr>
          <w:rFonts w:ascii="Times New Roman" w:eastAsia="Times New Roman" w:hAnsi="Times New Roman" w:cs="Times New Roman"/>
          <w:sz w:val="20"/>
          <w:szCs w:val="20"/>
          <w:vertAlign w:val="superscript"/>
          <w:lang w:eastAsia="pt-BR"/>
        </w:rPr>
      </w:pPr>
      <w:r>
        <w:rPr>
          <w:rFonts w:ascii="Times New Roman" w:eastAsia="Times New Roman" w:hAnsi="Times New Roman" w:cs="Times New Roman"/>
          <w:sz w:val="20"/>
          <w:szCs w:val="20"/>
          <w:vertAlign w:val="superscript"/>
          <w:lang w:eastAsia="pt-BR"/>
        </w:rPr>
        <w:t xml:space="preserve"> </w:t>
      </w:r>
      <w:r w:rsidR="00FD5E94">
        <w:rPr>
          <w:rFonts w:ascii="Times New Roman" w:eastAsia="Times New Roman" w:hAnsi="Times New Roman" w:cs="Times New Roman"/>
          <w:sz w:val="20"/>
          <w:szCs w:val="20"/>
          <w:vertAlign w:val="superscript"/>
          <w:lang w:eastAsia="pt-BR"/>
        </w:rPr>
        <w:tab/>
      </w:r>
    </w:p>
    <w:p w14:paraId="6FF708C9" w14:textId="77777777" w:rsidR="008F4BFD" w:rsidRPr="007342AE" w:rsidRDefault="008F4BFD" w:rsidP="00FD5E94">
      <w:pPr>
        <w:ind w:right="119" w:firstLine="0"/>
        <w:jc w:val="both"/>
        <w:rPr>
          <w:rFonts w:ascii="Times New Roman" w:eastAsia="Times New Roman" w:hAnsi="Times New Roman" w:cs="Times New Roman"/>
          <w:sz w:val="24"/>
          <w:szCs w:val="24"/>
          <w:vertAlign w:val="superscript"/>
          <w:lang w:eastAsia="pt-BR"/>
        </w:rPr>
      </w:pPr>
    </w:p>
    <w:p w14:paraId="7318F77C" w14:textId="3262FEA4" w:rsidR="00B24368" w:rsidRPr="00FD5E94" w:rsidRDefault="00176478" w:rsidP="008F4BFD">
      <w:pPr>
        <w:ind w:right="119" w:firstLine="708"/>
        <w:jc w:val="both"/>
        <w:rPr>
          <w:rFonts w:ascii="Times New Roman" w:eastAsia="Times New Roman" w:hAnsi="Times New Roman" w:cs="Times New Roman"/>
          <w:sz w:val="20"/>
          <w:szCs w:val="20"/>
          <w:vertAlign w:val="superscript"/>
          <w:lang w:eastAsia="pt-BR"/>
        </w:rPr>
      </w:pPr>
      <w:r>
        <w:rPr>
          <w:rFonts w:ascii="Times New Roman" w:eastAsia="Times New Roman" w:hAnsi="Times New Roman" w:cs="Times New Roman"/>
          <w:color w:val="000000"/>
          <w:sz w:val="24"/>
          <w:szCs w:val="24"/>
          <w:lang w:eastAsia="pt-BR"/>
        </w:rPr>
        <w:lastRenderedPageBreak/>
        <w:t>E</w:t>
      </w:r>
      <w:r w:rsidRPr="00E77A1B">
        <w:rPr>
          <w:rFonts w:ascii="Times New Roman" w:eastAsia="Times New Roman" w:hAnsi="Times New Roman" w:cs="Times New Roman"/>
          <w:color w:val="000000"/>
          <w:sz w:val="24"/>
          <w:szCs w:val="24"/>
          <w:lang w:eastAsia="pt-BR"/>
        </w:rPr>
        <w:t xml:space="preserve">ntre </w:t>
      </w:r>
      <w:r w:rsidR="00A61C3A" w:rsidRPr="00E77A1B">
        <w:rPr>
          <w:rFonts w:ascii="Times New Roman" w:eastAsia="Times New Roman" w:hAnsi="Times New Roman" w:cs="Times New Roman"/>
          <w:color w:val="000000"/>
          <w:sz w:val="24"/>
          <w:szCs w:val="24"/>
          <w:lang w:eastAsia="pt-BR"/>
        </w:rPr>
        <w:t xml:space="preserve">os ativos do TRF6, o Imobilizado, representado pelos saldos de contas relacionadas a Bens Móveis e Imóveis, corresponde a </w:t>
      </w:r>
      <w:r w:rsidR="00632174">
        <w:rPr>
          <w:rFonts w:ascii="Times New Roman" w:eastAsia="Times New Roman" w:hAnsi="Times New Roman" w:cs="Times New Roman"/>
          <w:b/>
          <w:bCs/>
          <w:color w:val="000000"/>
          <w:sz w:val="24"/>
          <w:szCs w:val="24"/>
          <w:lang w:eastAsia="pt-BR"/>
        </w:rPr>
        <w:t>7</w:t>
      </w:r>
      <w:r w:rsidR="00932684">
        <w:rPr>
          <w:rFonts w:ascii="Times New Roman" w:eastAsia="Times New Roman" w:hAnsi="Times New Roman" w:cs="Times New Roman"/>
          <w:b/>
          <w:bCs/>
          <w:color w:val="000000"/>
          <w:sz w:val="24"/>
          <w:szCs w:val="24"/>
          <w:lang w:eastAsia="pt-BR"/>
        </w:rPr>
        <w:t>4</w:t>
      </w:r>
      <w:r w:rsidR="00632174">
        <w:rPr>
          <w:rFonts w:ascii="Times New Roman" w:eastAsia="Times New Roman" w:hAnsi="Times New Roman" w:cs="Times New Roman"/>
          <w:b/>
          <w:bCs/>
          <w:color w:val="000000"/>
          <w:sz w:val="24"/>
          <w:szCs w:val="24"/>
          <w:lang w:eastAsia="pt-BR"/>
        </w:rPr>
        <w:t>,</w:t>
      </w:r>
      <w:r w:rsidR="00932684">
        <w:rPr>
          <w:rFonts w:ascii="Times New Roman" w:eastAsia="Times New Roman" w:hAnsi="Times New Roman" w:cs="Times New Roman"/>
          <w:b/>
          <w:bCs/>
          <w:color w:val="000000"/>
          <w:sz w:val="24"/>
          <w:szCs w:val="24"/>
          <w:lang w:eastAsia="pt-BR"/>
        </w:rPr>
        <w:t>9</w:t>
      </w:r>
      <w:r w:rsidR="00632174">
        <w:rPr>
          <w:rFonts w:ascii="Times New Roman" w:eastAsia="Times New Roman" w:hAnsi="Times New Roman" w:cs="Times New Roman"/>
          <w:b/>
          <w:bCs/>
          <w:color w:val="000000"/>
          <w:sz w:val="24"/>
          <w:szCs w:val="24"/>
          <w:lang w:eastAsia="pt-BR"/>
        </w:rPr>
        <w:t>0</w:t>
      </w:r>
      <w:r w:rsidR="00A61C3A" w:rsidRPr="00E77A1B">
        <w:rPr>
          <w:rFonts w:ascii="Times New Roman" w:eastAsia="Times New Roman" w:hAnsi="Times New Roman" w:cs="Times New Roman"/>
          <w:b/>
          <w:bCs/>
          <w:color w:val="000000"/>
          <w:sz w:val="24"/>
          <w:szCs w:val="24"/>
          <w:lang w:eastAsia="pt-BR"/>
        </w:rPr>
        <w:t>%</w:t>
      </w:r>
      <w:r w:rsidR="00A61C3A" w:rsidRPr="00E77A1B">
        <w:rPr>
          <w:rFonts w:ascii="Times New Roman" w:eastAsia="Times New Roman" w:hAnsi="Times New Roman" w:cs="Times New Roman"/>
          <w:color w:val="000000"/>
          <w:sz w:val="24"/>
          <w:szCs w:val="24"/>
          <w:lang w:eastAsia="pt-BR"/>
        </w:rPr>
        <w:t xml:space="preserve"> do total do Ativo, o que evidencia a relevância patrimonial dessa classe, conforme demonstrado na tabela abaixo:</w:t>
      </w:r>
    </w:p>
    <w:p w14:paraId="1FDB429D" w14:textId="77777777" w:rsidR="00724591" w:rsidRDefault="00724591" w:rsidP="00FD5E94">
      <w:pPr>
        <w:ind w:right="120" w:firstLine="0"/>
        <w:jc w:val="center"/>
        <w:rPr>
          <w:rFonts w:ascii="Times New Roman" w:eastAsia="Times New Roman" w:hAnsi="Times New Roman" w:cs="Times New Roman"/>
          <w:b/>
          <w:bCs/>
          <w:color w:val="000000"/>
          <w:lang w:eastAsia="pt-BR"/>
        </w:rPr>
      </w:pPr>
    </w:p>
    <w:p w14:paraId="39975089" w14:textId="77777777" w:rsidR="00A61C3A" w:rsidRPr="00C47BED" w:rsidRDefault="00A61C3A" w:rsidP="004C1065">
      <w:pPr>
        <w:ind w:right="120" w:firstLine="0"/>
        <w:jc w:val="center"/>
        <w:rPr>
          <w:rFonts w:ascii="Times New Roman" w:eastAsia="Times New Roman" w:hAnsi="Times New Roman" w:cs="Times New Roman"/>
          <w:lang w:eastAsia="pt-BR"/>
        </w:rPr>
      </w:pPr>
      <w:r w:rsidRPr="00C47BED">
        <w:rPr>
          <w:rFonts w:ascii="Times New Roman" w:eastAsia="Times New Roman" w:hAnsi="Times New Roman" w:cs="Times New Roman"/>
          <w:b/>
          <w:bCs/>
          <w:color w:val="000000"/>
          <w:lang w:eastAsia="pt-BR"/>
        </w:rPr>
        <w:t>Tabela 2 - Classes do ativo (R$)</w:t>
      </w:r>
      <w:bookmarkEnd w:id="2"/>
    </w:p>
    <w:tbl>
      <w:tblPr>
        <w:tblW w:w="8080" w:type="dxa"/>
        <w:jc w:val="center"/>
        <w:tblCellMar>
          <w:left w:w="70" w:type="dxa"/>
          <w:right w:w="70" w:type="dxa"/>
        </w:tblCellMar>
        <w:tblLook w:val="04A0" w:firstRow="1" w:lastRow="0" w:firstColumn="1" w:lastColumn="0" w:noHBand="0" w:noVBand="1"/>
      </w:tblPr>
      <w:tblGrid>
        <w:gridCol w:w="3544"/>
        <w:gridCol w:w="2410"/>
        <w:gridCol w:w="2126"/>
      </w:tblGrid>
      <w:tr w:rsidR="00DD6027" w:rsidRPr="004638AD" w14:paraId="00809FEC" w14:textId="77777777" w:rsidTr="00AD0A12">
        <w:trPr>
          <w:trHeight w:val="384"/>
          <w:jc w:val="center"/>
        </w:trPr>
        <w:tc>
          <w:tcPr>
            <w:tcW w:w="3544"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58424E1B" w14:textId="77777777" w:rsidR="00DD6027" w:rsidRPr="004638AD" w:rsidRDefault="00DD6027" w:rsidP="00DD6027">
            <w:pPr>
              <w:ind w:firstLine="0"/>
              <w:jc w:val="center"/>
              <w:rPr>
                <w:rFonts w:ascii="Times New Roman" w:eastAsia="Times New Roman" w:hAnsi="Times New Roman" w:cs="Times New Roman"/>
                <w:b/>
                <w:bCs/>
                <w:sz w:val="20"/>
                <w:szCs w:val="20"/>
                <w:lang w:eastAsia="pt-BR"/>
              </w:rPr>
            </w:pPr>
            <w:r w:rsidRPr="004638AD">
              <w:rPr>
                <w:rFonts w:ascii="Times New Roman" w:eastAsia="Times New Roman" w:hAnsi="Times New Roman" w:cs="Times New Roman"/>
                <w:b/>
                <w:bCs/>
                <w:sz w:val="20"/>
                <w:szCs w:val="20"/>
                <w:lang w:eastAsia="pt-BR"/>
              </w:rPr>
              <w:t>ATIVO</w:t>
            </w:r>
          </w:p>
        </w:tc>
        <w:tc>
          <w:tcPr>
            <w:tcW w:w="2410" w:type="dxa"/>
            <w:tcBorders>
              <w:top w:val="single" w:sz="4" w:space="0" w:color="000000"/>
              <w:left w:val="nil"/>
              <w:bottom w:val="single" w:sz="4" w:space="0" w:color="000000"/>
              <w:right w:val="single" w:sz="4" w:space="0" w:color="000000"/>
            </w:tcBorders>
            <w:shd w:val="clear" w:color="000000" w:fill="D9D9D9"/>
            <w:vAlign w:val="center"/>
            <w:hideMark/>
          </w:tcPr>
          <w:p w14:paraId="02BB3D3A" w14:textId="77777777" w:rsidR="00DD6027" w:rsidRPr="004638AD" w:rsidRDefault="00DD6027" w:rsidP="00DD6027">
            <w:pPr>
              <w:ind w:firstLine="0"/>
              <w:jc w:val="center"/>
              <w:rPr>
                <w:rFonts w:ascii="Times New Roman" w:eastAsia="Times New Roman" w:hAnsi="Times New Roman" w:cs="Times New Roman"/>
                <w:b/>
                <w:bCs/>
                <w:sz w:val="20"/>
                <w:szCs w:val="20"/>
                <w:lang w:eastAsia="pt-BR"/>
              </w:rPr>
            </w:pPr>
            <w:r w:rsidRPr="004638AD">
              <w:rPr>
                <w:rFonts w:ascii="Times New Roman" w:eastAsia="Times New Roman" w:hAnsi="Times New Roman" w:cs="Times New Roman"/>
                <w:b/>
                <w:bCs/>
                <w:sz w:val="20"/>
                <w:szCs w:val="20"/>
                <w:lang w:eastAsia="pt-BR"/>
              </w:rPr>
              <w:t>2025</w:t>
            </w:r>
          </w:p>
        </w:tc>
        <w:tc>
          <w:tcPr>
            <w:tcW w:w="2126" w:type="dxa"/>
            <w:tcBorders>
              <w:top w:val="single" w:sz="4" w:space="0" w:color="000000"/>
              <w:left w:val="nil"/>
              <w:bottom w:val="single" w:sz="4" w:space="0" w:color="000000"/>
              <w:right w:val="single" w:sz="4" w:space="0" w:color="000000"/>
            </w:tcBorders>
            <w:shd w:val="clear" w:color="000000" w:fill="D9D9D9"/>
            <w:vAlign w:val="center"/>
            <w:hideMark/>
          </w:tcPr>
          <w:p w14:paraId="64287E42" w14:textId="77777777" w:rsidR="00DD6027" w:rsidRPr="004638AD" w:rsidRDefault="00DD6027" w:rsidP="00DD6027">
            <w:pPr>
              <w:ind w:firstLine="0"/>
              <w:jc w:val="center"/>
              <w:rPr>
                <w:rFonts w:ascii="Times New Roman" w:eastAsia="Times New Roman" w:hAnsi="Times New Roman" w:cs="Times New Roman"/>
                <w:b/>
                <w:bCs/>
                <w:sz w:val="20"/>
                <w:szCs w:val="20"/>
                <w:lang w:eastAsia="pt-BR"/>
              </w:rPr>
            </w:pPr>
            <w:r w:rsidRPr="004638AD">
              <w:rPr>
                <w:rFonts w:ascii="Times New Roman" w:eastAsia="Times New Roman" w:hAnsi="Times New Roman" w:cs="Times New Roman"/>
                <w:b/>
                <w:bCs/>
                <w:sz w:val="20"/>
                <w:szCs w:val="20"/>
                <w:lang w:eastAsia="pt-BR"/>
              </w:rPr>
              <w:t>AV</w:t>
            </w:r>
          </w:p>
        </w:tc>
      </w:tr>
      <w:tr w:rsidR="00DD6027" w:rsidRPr="004638AD" w14:paraId="64C07929" w14:textId="77777777" w:rsidTr="00AD0A12">
        <w:trPr>
          <w:trHeight w:val="384"/>
          <w:jc w:val="center"/>
        </w:trPr>
        <w:tc>
          <w:tcPr>
            <w:tcW w:w="3544" w:type="dxa"/>
            <w:tcBorders>
              <w:top w:val="nil"/>
              <w:left w:val="single" w:sz="4" w:space="0" w:color="000000"/>
              <w:bottom w:val="single" w:sz="4" w:space="0" w:color="000000"/>
              <w:right w:val="single" w:sz="4" w:space="0" w:color="000000"/>
            </w:tcBorders>
            <w:vAlign w:val="center"/>
            <w:hideMark/>
          </w:tcPr>
          <w:p w14:paraId="6183C11A" w14:textId="77777777" w:rsidR="00DD6027" w:rsidRPr="004638AD" w:rsidRDefault="00DD6027" w:rsidP="00DD6027">
            <w:pPr>
              <w:ind w:firstLine="0"/>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Caixa e Equivalentes de Caixa</w:t>
            </w:r>
          </w:p>
        </w:tc>
        <w:tc>
          <w:tcPr>
            <w:tcW w:w="2410" w:type="dxa"/>
            <w:tcBorders>
              <w:top w:val="nil"/>
              <w:left w:val="nil"/>
              <w:bottom w:val="single" w:sz="4" w:space="0" w:color="000000"/>
              <w:right w:val="single" w:sz="4" w:space="0" w:color="000000"/>
            </w:tcBorders>
            <w:vAlign w:val="center"/>
            <w:hideMark/>
          </w:tcPr>
          <w:p w14:paraId="1693EE45" w14:textId="77777777" w:rsidR="00DD6027" w:rsidRPr="004638AD" w:rsidRDefault="00DD6027" w:rsidP="00DD6027">
            <w:pPr>
              <w:ind w:firstLine="0"/>
              <w:jc w:val="right"/>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66.061.276,66</w:t>
            </w:r>
          </w:p>
        </w:tc>
        <w:tc>
          <w:tcPr>
            <w:tcW w:w="2126" w:type="dxa"/>
            <w:tcBorders>
              <w:top w:val="nil"/>
              <w:left w:val="nil"/>
              <w:bottom w:val="single" w:sz="4" w:space="0" w:color="000000"/>
              <w:right w:val="single" w:sz="4" w:space="0" w:color="000000"/>
            </w:tcBorders>
            <w:vAlign w:val="center"/>
            <w:hideMark/>
          </w:tcPr>
          <w:p w14:paraId="44289A9E" w14:textId="77777777" w:rsidR="00DD6027" w:rsidRPr="004638AD" w:rsidRDefault="00DD6027" w:rsidP="00DD6027">
            <w:pPr>
              <w:ind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14,11%</w:t>
            </w:r>
          </w:p>
        </w:tc>
      </w:tr>
      <w:tr w:rsidR="00DD6027" w:rsidRPr="004638AD" w14:paraId="49BDFD21" w14:textId="77777777" w:rsidTr="00AD0A12">
        <w:trPr>
          <w:trHeight w:val="384"/>
          <w:jc w:val="center"/>
        </w:trPr>
        <w:tc>
          <w:tcPr>
            <w:tcW w:w="3544" w:type="dxa"/>
            <w:tcBorders>
              <w:top w:val="nil"/>
              <w:left w:val="single" w:sz="4" w:space="0" w:color="000000"/>
              <w:bottom w:val="single" w:sz="4" w:space="0" w:color="000000"/>
              <w:right w:val="single" w:sz="4" w:space="0" w:color="000000"/>
            </w:tcBorders>
            <w:vAlign w:val="center"/>
            <w:hideMark/>
          </w:tcPr>
          <w:p w14:paraId="46F50AF6" w14:textId="77777777" w:rsidR="00DD6027" w:rsidRPr="004638AD" w:rsidRDefault="00DD6027" w:rsidP="00DD6027">
            <w:pPr>
              <w:ind w:firstLine="0"/>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Créditos a curto prazo</w:t>
            </w:r>
          </w:p>
        </w:tc>
        <w:tc>
          <w:tcPr>
            <w:tcW w:w="2410" w:type="dxa"/>
            <w:tcBorders>
              <w:top w:val="nil"/>
              <w:left w:val="nil"/>
              <w:bottom w:val="single" w:sz="4" w:space="0" w:color="000000"/>
              <w:right w:val="single" w:sz="4" w:space="0" w:color="000000"/>
            </w:tcBorders>
            <w:vAlign w:val="center"/>
            <w:hideMark/>
          </w:tcPr>
          <w:p w14:paraId="41B25CE1" w14:textId="77777777" w:rsidR="00DD6027" w:rsidRPr="004638AD" w:rsidRDefault="00DD6027" w:rsidP="00DD6027">
            <w:pPr>
              <w:ind w:firstLine="0"/>
              <w:jc w:val="right"/>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5.220.412,71</w:t>
            </w:r>
          </w:p>
        </w:tc>
        <w:tc>
          <w:tcPr>
            <w:tcW w:w="2126" w:type="dxa"/>
            <w:tcBorders>
              <w:top w:val="nil"/>
              <w:left w:val="nil"/>
              <w:bottom w:val="single" w:sz="4" w:space="0" w:color="000000"/>
              <w:right w:val="single" w:sz="4" w:space="0" w:color="000000"/>
            </w:tcBorders>
            <w:vAlign w:val="center"/>
            <w:hideMark/>
          </w:tcPr>
          <w:p w14:paraId="72A1F196" w14:textId="77777777" w:rsidR="00DD6027" w:rsidRPr="004638AD" w:rsidRDefault="00DD6027" w:rsidP="00DD6027">
            <w:pPr>
              <w:ind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1,12%</w:t>
            </w:r>
          </w:p>
        </w:tc>
      </w:tr>
      <w:tr w:rsidR="00DD6027" w:rsidRPr="004638AD" w14:paraId="28D33666" w14:textId="77777777" w:rsidTr="00AD0A12">
        <w:trPr>
          <w:trHeight w:val="384"/>
          <w:jc w:val="center"/>
        </w:trPr>
        <w:tc>
          <w:tcPr>
            <w:tcW w:w="3544" w:type="dxa"/>
            <w:tcBorders>
              <w:top w:val="nil"/>
              <w:left w:val="single" w:sz="4" w:space="0" w:color="000000"/>
              <w:bottom w:val="single" w:sz="4" w:space="0" w:color="000000"/>
              <w:right w:val="single" w:sz="4" w:space="0" w:color="000000"/>
            </w:tcBorders>
            <w:vAlign w:val="center"/>
            <w:hideMark/>
          </w:tcPr>
          <w:p w14:paraId="18A4BBB9" w14:textId="77777777" w:rsidR="00DD6027" w:rsidRPr="004638AD" w:rsidRDefault="00DD6027" w:rsidP="00DD6027">
            <w:pPr>
              <w:ind w:firstLine="0"/>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Estoques</w:t>
            </w:r>
          </w:p>
        </w:tc>
        <w:tc>
          <w:tcPr>
            <w:tcW w:w="2410" w:type="dxa"/>
            <w:tcBorders>
              <w:top w:val="nil"/>
              <w:left w:val="nil"/>
              <w:bottom w:val="single" w:sz="4" w:space="0" w:color="000000"/>
              <w:right w:val="single" w:sz="4" w:space="0" w:color="000000"/>
            </w:tcBorders>
            <w:vAlign w:val="center"/>
            <w:hideMark/>
          </w:tcPr>
          <w:p w14:paraId="02C26ECB" w14:textId="77777777" w:rsidR="00DD6027" w:rsidRPr="004638AD" w:rsidRDefault="00DD6027" w:rsidP="00DD6027">
            <w:pPr>
              <w:ind w:firstLine="0"/>
              <w:jc w:val="right"/>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405.363,24</w:t>
            </w:r>
          </w:p>
        </w:tc>
        <w:tc>
          <w:tcPr>
            <w:tcW w:w="2126" w:type="dxa"/>
            <w:tcBorders>
              <w:top w:val="nil"/>
              <w:left w:val="nil"/>
              <w:bottom w:val="single" w:sz="4" w:space="0" w:color="000000"/>
              <w:right w:val="single" w:sz="4" w:space="0" w:color="000000"/>
            </w:tcBorders>
            <w:vAlign w:val="center"/>
            <w:hideMark/>
          </w:tcPr>
          <w:p w14:paraId="78211944" w14:textId="77777777" w:rsidR="00DD6027" w:rsidRPr="004638AD" w:rsidRDefault="00DD6027" w:rsidP="00DD6027">
            <w:pPr>
              <w:ind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0,09%</w:t>
            </w:r>
          </w:p>
        </w:tc>
      </w:tr>
      <w:tr w:rsidR="00DD6027" w:rsidRPr="004638AD" w14:paraId="02B3122E" w14:textId="77777777" w:rsidTr="00AD0A12">
        <w:trPr>
          <w:trHeight w:val="384"/>
          <w:jc w:val="center"/>
        </w:trPr>
        <w:tc>
          <w:tcPr>
            <w:tcW w:w="3544" w:type="dxa"/>
            <w:tcBorders>
              <w:top w:val="nil"/>
              <w:left w:val="single" w:sz="4" w:space="0" w:color="000000"/>
              <w:bottom w:val="single" w:sz="4" w:space="0" w:color="000000"/>
              <w:right w:val="single" w:sz="4" w:space="0" w:color="000000"/>
            </w:tcBorders>
            <w:vAlign w:val="center"/>
            <w:hideMark/>
          </w:tcPr>
          <w:p w14:paraId="49DAB8CD" w14:textId="77777777" w:rsidR="00DD6027" w:rsidRPr="004638AD" w:rsidRDefault="00DD6027" w:rsidP="00DD6027">
            <w:pPr>
              <w:ind w:firstLine="0"/>
              <w:rPr>
                <w:rFonts w:ascii="Times New Roman" w:eastAsia="Times New Roman" w:hAnsi="Times New Roman" w:cs="Times New Roman"/>
                <w:color w:val="000000"/>
                <w:sz w:val="20"/>
                <w:szCs w:val="20"/>
                <w:lang w:eastAsia="pt-BR"/>
              </w:rPr>
            </w:pPr>
            <w:proofErr w:type="spellStart"/>
            <w:r w:rsidRPr="004638AD">
              <w:rPr>
                <w:rFonts w:ascii="Times New Roman" w:eastAsia="Times New Roman" w:hAnsi="Times New Roman" w:cs="Times New Roman"/>
                <w:color w:val="000000"/>
                <w:sz w:val="20"/>
                <w:szCs w:val="20"/>
                <w:lang w:eastAsia="pt-BR"/>
              </w:rPr>
              <w:t>VPDs</w:t>
            </w:r>
            <w:proofErr w:type="spellEnd"/>
            <w:r w:rsidRPr="004638AD">
              <w:rPr>
                <w:rFonts w:ascii="Times New Roman" w:eastAsia="Times New Roman" w:hAnsi="Times New Roman" w:cs="Times New Roman"/>
                <w:color w:val="000000"/>
                <w:sz w:val="20"/>
                <w:szCs w:val="20"/>
                <w:lang w:eastAsia="pt-BR"/>
              </w:rPr>
              <w:t xml:space="preserve"> Pagas Antecipadamente</w:t>
            </w:r>
          </w:p>
        </w:tc>
        <w:tc>
          <w:tcPr>
            <w:tcW w:w="2410" w:type="dxa"/>
            <w:tcBorders>
              <w:top w:val="nil"/>
              <w:left w:val="nil"/>
              <w:bottom w:val="single" w:sz="4" w:space="0" w:color="000000"/>
              <w:right w:val="single" w:sz="4" w:space="0" w:color="000000"/>
            </w:tcBorders>
            <w:vAlign w:val="center"/>
            <w:hideMark/>
          </w:tcPr>
          <w:p w14:paraId="66F070D4" w14:textId="77777777" w:rsidR="00DD6027" w:rsidRPr="004638AD" w:rsidRDefault="00DD6027" w:rsidP="00DD6027">
            <w:pPr>
              <w:ind w:firstLine="0"/>
              <w:jc w:val="right"/>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32.991.674,97</w:t>
            </w:r>
          </w:p>
        </w:tc>
        <w:tc>
          <w:tcPr>
            <w:tcW w:w="2126" w:type="dxa"/>
            <w:tcBorders>
              <w:top w:val="nil"/>
              <w:left w:val="nil"/>
              <w:bottom w:val="single" w:sz="4" w:space="0" w:color="000000"/>
              <w:right w:val="single" w:sz="4" w:space="0" w:color="000000"/>
            </w:tcBorders>
            <w:vAlign w:val="center"/>
            <w:hideMark/>
          </w:tcPr>
          <w:p w14:paraId="3125657C" w14:textId="77777777" w:rsidR="00DD6027" w:rsidRPr="004638AD" w:rsidRDefault="00DD6027" w:rsidP="00DD6027">
            <w:pPr>
              <w:ind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7,05%</w:t>
            </w:r>
          </w:p>
        </w:tc>
      </w:tr>
      <w:tr w:rsidR="00DD6027" w:rsidRPr="004638AD" w14:paraId="62BE2FCA" w14:textId="77777777" w:rsidTr="00AD0A12">
        <w:trPr>
          <w:trHeight w:val="384"/>
          <w:jc w:val="center"/>
        </w:trPr>
        <w:tc>
          <w:tcPr>
            <w:tcW w:w="3544" w:type="dxa"/>
            <w:tcBorders>
              <w:top w:val="nil"/>
              <w:left w:val="single" w:sz="4" w:space="0" w:color="000000"/>
              <w:bottom w:val="single" w:sz="4" w:space="0" w:color="000000"/>
              <w:right w:val="single" w:sz="4" w:space="0" w:color="000000"/>
            </w:tcBorders>
            <w:vAlign w:val="center"/>
            <w:hideMark/>
          </w:tcPr>
          <w:p w14:paraId="2ACD10CE" w14:textId="77777777" w:rsidR="00DD6027" w:rsidRPr="004638AD" w:rsidRDefault="00DD6027" w:rsidP="00DD6027">
            <w:pPr>
              <w:ind w:firstLine="0"/>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Créditos a longo prazo</w:t>
            </w:r>
          </w:p>
        </w:tc>
        <w:tc>
          <w:tcPr>
            <w:tcW w:w="2410" w:type="dxa"/>
            <w:tcBorders>
              <w:top w:val="nil"/>
              <w:left w:val="nil"/>
              <w:bottom w:val="single" w:sz="4" w:space="0" w:color="000000"/>
              <w:right w:val="single" w:sz="4" w:space="0" w:color="000000"/>
            </w:tcBorders>
            <w:vAlign w:val="center"/>
            <w:hideMark/>
          </w:tcPr>
          <w:p w14:paraId="180A7B1E" w14:textId="77777777" w:rsidR="00DD6027" w:rsidRPr="004638AD" w:rsidRDefault="00DD6027" w:rsidP="00DD6027">
            <w:pPr>
              <w:ind w:firstLine="0"/>
              <w:jc w:val="right"/>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65.636,95</w:t>
            </w:r>
          </w:p>
        </w:tc>
        <w:tc>
          <w:tcPr>
            <w:tcW w:w="2126" w:type="dxa"/>
            <w:tcBorders>
              <w:top w:val="nil"/>
              <w:left w:val="nil"/>
              <w:bottom w:val="single" w:sz="4" w:space="0" w:color="000000"/>
              <w:right w:val="single" w:sz="4" w:space="0" w:color="000000"/>
            </w:tcBorders>
            <w:vAlign w:val="center"/>
            <w:hideMark/>
          </w:tcPr>
          <w:p w14:paraId="6521F4EE" w14:textId="77777777" w:rsidR="00DD6027" w:rsidRPr="004638AD" w:rsidRDefault="00DD6027" w:rsidP="00DD6027">
            <w:pPr>
              <w:ind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0,01%</w:t>
            </w:r>
          </w:p>
        </w:tc>
      </w:tr>
      <w:tr w:rsidR="00DD6027" w:rsidRPr="004638AD" w14:paraId="3EBE5176" w14:textId="77777777" w:rsidTr="00AD0A12">
        <w:trPr>
          <w:trHeight w:val="384"/>
          <w:jc w:val="center"/>
        </w:trPr>
        <w:tc>
          <w:tcPr>
            <w:tcW w:w="3544" w:type="dxa"/>
            <w:tcBorders>
              <w:top w:val="nil"/>
              <w:left w:val="single" w:sz="4" w:space="0" w:color="000000"/>
              <w:bottom w:val="single" w:sz="4" w:space="0" w:color="000000"/>
              <w:right w:val="single" w:sz="4" w:space="0" w:color="000000"/>
            </w:tcBorders>
            <w:vAlign w:val="center"/>
            <w:hideMark/>
          </w:tcPr>
          <w:p w14:paraId="353C56B7" w14:textId="77777777" w:rsidR="00DD6027" w:rsidRPr="004638AD" w:rsidRDefault="00DD6027" w:rsidP="00DD6027">
            <w:pPr>
              <w:ind w:firstLine="0"/>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Imobilizado</w:t>
            </w:r>
          </w:p>
        </w:tc>
        <w:tc>
          <w:tcPr>
            <w:tcW w:w="2410" w:type="dxa"/>
            <w:tcBorders>
              <w:top w:val="nil"/>
              <w:left w:val="nil"/>
              <w:bottom w:val="single" w:sz="4" w:space="0" w:color="000000"/>
              <w:right w:val="single" w:sz="4" w:space="0" w:color="000000"/>
            </w:tcBorders>
            <w:vAlign w:val="center"/>
            <w:hideMark/>
          </w:tcPr>
          <w:p w14:paraId="66D76765" w14:textId="77777777" w:rsidR="00DD6027" w:rsidRPr="004638AD" w:rsidRDefault="00DD6027" w:rsidP="00DD6027">
            <w:pPr>
              <w:ind w:firstLine="0"/>
              <w:jc w:val="right"/>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350.683.187,38</w:t>
            </w:r>
          </w:p>
        </w:tc>
        <w:tc>
          <w:tcPr>
            <w:tcW w:w="2126" w:type="dxa"/>
            <w:tcBorders>
              <w:top w:val="nil"/>
              <w:left w:val="nil"/>
              <w:bottom w:val="single" w:sz="4" w:space="0" w:color="000000"/>
              <w:right w:val="single" w:sz="4" w:space="0" w:color="000000"/>
            </w:tcBorders>
            <w:vAlign w:val="center"/>
            <w:hideMark/>
          </w:tcPr>
          <w:p w14:paraId="70A68161" w14:textId="77777777" w:rsidR="00DD6027" w:rsidRPr="004638AD" w:rsidRDefault="00DD6027" w:rsidP="00DD6027">
            <w:pPr>
              <w:ind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74,90%</w:t>
            </w:r>
          </w:p>
        </w:tc>
      </w:tr>
      <w:tr w:rsidR="00DD6027" w:rsidRPr="004638AD" w14:paraId="56FE28D6" w14:textId="77777777" w:rsidTr="00AD0A12">
        <w:trPr>
          <w:trHeight w:val="384"/>
          <w:jc w:val="center"/>
        </w:trPr>
        <w:tc>
          <w:tcPr>
            <w:tcW w:w="3544" w:type="dxa"/>
            <w:tcBorders>
              <w:top w:val="nil"/>
              <w:left w:val="single" w:sz="4" w:space="0" w:color="000000"/>
              <w:bottom w:val="single" w:sz="4" w:space="0" w:color="000000"/>
              <w:right w:val="single" w:sz="4" w:space="0" w:color="000000"/>
            </w:tcBorders>
            <w:vAlign w:val="center"/>
            <w:hideMark/>
          </w:tcPr>
          <w:p w14:paraId="2647F303" w14:textId="77777777" w:rsidR="00DD6027" w:rsidRPr="004638AD" w:rsidRDefault="00DD6027" w:rsidP="00DD6027">
            <w:pPr>
              <w:ind w:firstLine="0"/>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Intangível</w:t>
            </w:r>
          </w:p>
        </w:tc>
        <w:tc>
          <w:tcPr>
            <w:tcW w:w="2410" w:type="dxa"/>
            <w:tcBorders>
              <w:top w:val="nil"/>
              <w:left w:val="nil"/>
              <w:bottom w:val="single" w:sz="4" w:space="0" w:color="000000"/>
              <w:right w:val="single" w:sz="4" w:space="0" w:color="000000"/>
            </w:tcBorders>
            <w:vAlign w:val="center"/>
            <w:hideMark/>
          </w:tcPr>
          <w:p w14:paraId="31427715" w14:textId="77777777" w:rsidR="00DD6027" w:rsidRPr="004638AD" w:rsidRDefault="00DD6027" w:rsidP="00DD6027">
            <w:pPr>
              <w:ind w:firstLine="0"/>
              <w:jc w:val="right"/>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12.764.055,48</w:t>
            </w:r>
          </w:p>
        </w:tc>
        <w:tc>
          <w:tcPr>
            <w:tcW w:w="2126" w:type="dxa"/>
            <w:tcBorders>
              <w:top w:val="nil"/>
              <w:left w:val="nil"/>
              <w:bottom w:val="single" w:sz="4" w:space="0" w:color="000000"/>
              <w:right w:val="single" w:sz="4" w:space="0" w:color="000000"/>
            </w:tcBorders>
            <w:vAlign w:val="center"/>
            <w:hideMark/>
          </w:tcPr>
          <w:p w14:paraId="5DDF34EC" w14:textId="77777777" w:rsidR="00DD6027" w:rsidRPr="004638AD" w:rsidRDefault="00DD6027" w:rsidP="00DD6027">
            <w:pPr>
              <w:ind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2,73%</w:t>
            </w:r>
          </w:p>
        </w:tc>
      </w:tr>
      <w:tr w:rsidR="00DD6027" w:rsidRPr="004638AD" w14:paraId="7BFB9ED6" w14:textId="77777777" w:rsidTr="00AD0A12">
        <w:trPr>
          <w:trHeight w:val="384"/>
          <w:jc w:val="center"/>
        </w:trPr>
        <w:tc>
          <w:tcPr>
            <w:tcW w:w="3544" w:type="dxa"/>
            <w:tcBorders>
              <w:top w:val="nil"/>
              <w:left w:val="single" w:sz="4" w:space="0" w:color="000000"/>
              <w:bottom w:val="single" w:sz="4" w:space="0" w:color="000000"/>
              <w:right w:val="single" w:sz="4" w:space="0" w:color="000000"/>
            </w:tcBorders>
            <w:shd w:val="clear" w:color="000000" w:fill="D9D9D9"/>
            <w:vAlign w:val="center"/>
            <w:hideMark/>
          </w:tcPr>
          <w:p w14:paraId="6F71712E" w14:textId="77777777" w:rsidR="00DD6027" w:rsidRPr="004638AD" w:rsidRDefault="00DD6027" w:rsidP="00DD6027">
            <w:pPr>
              <w:ind w:firstLine="0"/>
              <w:jc w:val="center"/>
              <w:rPr>
                <w:rFonts w:ascii="Times New Roman" w:eastAsia="Times New Roman" w:hAnsi="Times New Roman" w:cs="Times New Roman"/>
                <w:b/>
                <w:bCs/>
                <w:sz w:val="20"/>
                <w:szCs w:val="20"/>
                <w:lang w:eastAsia="pt-BR"/>
              </w:rPr>
            </w:pPr>
            <w:r w:rsidRPr="004638AD">
              <w:rPr>
                <w:rFonts w:ascii="Times New Roman" w:eastAsia="Times New Roman" w:hAnsi="Times New Roman" w:cs="Times New Roman"/>
                <w:b/>
                <w:bCs/>
                <w:sz w:val="20"/>
                <w:szCs w:val="20"/>
                <w:lang w:eastAsia="pt-BR"/>
              </w:rPr>
              <w:t>TOTAL DO ATIVO</w:t>
            </w:r>
          </w:p>
        </w:tc>
        <w:tc>
          <w:tcPr>
            <w:tcW w:w="2410" w:type="dxa"/>
            <w:tcBorders>
              <w:top w:val="nil"/>
              <w:left w:val="nil"/>
              <w:bottom w:val="single" w:sz="4" w:space="0" w:color="000000"/>
              <w:right w:val="single" w:sz="4" w:space="0" w:color="000000"/>
            </w:tcBorders>
            <w:shd w:val="clear" w:color="000000" w:fill="D9D9D9"/>
            <w:vAlign w:val="center"/>
            <w:hideMark/>
          </w:tcPr>
          <w:p w14:paraId="6E0FF0F0" w14:textId="77777777" w:rsidR="00DD6027" w:rsidRPr="004638AD" w:rsidRDefault="00DD6027" w:rsidP="00DD6027">
            <w:pPr>
              <w:ind w:firstLine="0"/>
              <w:jc w:val="right"/>
              <w:rPr>
                <w:rFonts w:ascii="Times New Roman" w:eastAsia="Times New Roman" w:hAnsi="Times New Roman" w:cs="Times New Roman"/>
                <w:b/>
                <w:bCs/>
                <w:sz w:val="20"/>
                <w:szCs w:val="20"/>
                <w:lang w:eastAsia="pt-BR"/>
              </w:rPr>
            </w:pPr>
            <w:r w:rsidRPr="004638AD">
              <w:rPr>
                <w:rFonts w:ascii="Times New Roman" w:eastAsia="Times New Roman" w:hAnsi="Times New Roman" w:cs="Times New Roman"/>
                <w:b/>
                <w:bCs/>
                <w:sz w:val="20"/>
                <w:szCs w:val="20"/>
                <w:lang w:eastAsia="pt-BR"/>
              </w:rPr>
              <w:t>468.191.607,39</w:t>
            </w:r>
          </w:p>
        </w:tc>
        <w:tc>
          <w:tcPr>
            <w:tcW w:w="2126" w:type="dxa"/>
            <w:tcBorders>
              <w:top w:val="nil"/>
              <w:left w:val="nil"/>
              <w:bottom w:val="single" w:sz="4" w:space="0" w:color="000000"/>
              <w:right w:val="single" w:sz="4" w:space="0" w:color="000000"/>
            </w:tcBorders>
            <w:shd w:val="clear" w:color="000000" w:fill="D9D9D9"/>
            <w:vAlign w:val="center"/>
            <w:hideMark/>
          </w:tcPr>
          <w:p w14:paraId="749B1182" w14:textId="77777777" w:rsidR="00DD6027" w:rsidRPr="004638AD" w:rsidRDefault="00DD6027" w:rsidP="00DD6027">
            <w:pPr>
              <w:ind w:firstLine="0"/>
              <w:jc w:val="center"/>
              <w:rPr>
                <w:rFonts w:ascii="Times New Roman" w:eastAsia="Times New Roman" w:hAnsi="Times New Roman" w:cs="Times New Roman"/>
                <w:b/>
                <w:bCs/>
                <w:sz w:val="20"/>
                <w:szCs w:val="20"/>
                <w:lang w:eastAsia="pt-BR"/>
              </w:rPr>
            </w:pPr>
            <w:r w:rsidRPr="004638AD">
              <w:rPr>
                <w:rFonts w:ascii="Times New Roman" w:eastAsia="Times New Roman" w:hAnsi="Times New Roman" w:cs="Times New Roman"/>
                <w:b/>
                <w:bCs/>
                <w:sz w:val="20"/>
                <w:szCs w:val="20"/>
                <w:lang w:eastAsia="pt-BR"/>
              </w:rPr>
              <w:t>100,00%</w:t>
            </w:r>
          </w:p>
        </w:tc>
      </w:tr>
    </w:tbl>
    <w:p w14:paraId="414635C2" w14:textId="1AE28034" w:rsidR="00A61C3A" w:rsidRPr="0016316B" w:rsidRDefault="007E718D" w:rsidP="004C1065">
      <w:pPr>
        <w:ind w:right="60" w:firstLine="0"/>
        <w:jc w:val="both"/>
        <w:rPr>
          <w:rFonts w:ascii="Times New Roman" w:eastAsia="Times New Roman" w:hAnsi="Times New Roman" w:cs="Times New Roman"/>
          <w:sz w:val="20"/>
          <w:szCs w:val="20"/>
          <w:lang w:eastAsia="pt-BR"/>
        </w:rPr>
      </w:pPr>
      <w:r w:rsidRPr="0016316B">
        <w:rPr>
          <w:rFonts w:ascii="Times New Roman" w:eastAsia="Times New Roman" w:hAnsi="Times New Roman" w:cs="Times New Roman"/>
          <w:color w:val="000000"/>
          <w:sz w:val="20"/>
          <w:szCs w:val="20"/>
          <w:lang w:eastAsia="pt-BR"/>
        </w:rPr>
        <w:t xml:space="preserve">           </w:t>
      </w:r>
      <w:r w:rsidR="0016316B">
        <w:rPr>
          <w:rFonts w:ascii="Times New Roman" w:eastAsia="Times New Roman" w:hAnsi="Times New Roman" w:cs="Times New Roman"/>
          <w:color w:val="000000"/>
          <w:sz w:val="20"/>
          <w:szCs w:val="20"/>
          <w:lang w:eastAsia="pt-BR"/>
        </w:rPr>
        <w:t xml:space="preserve">      </w:t>
      </w:r>
      <w:r w:rsidR="00CC7752" w:rsidRPr="0016316B">
        <w:rPr>
          <w:rFonts w:ascii="Times New Roman" w:eastAsia="Times New Roman" w:hAnsi="Times New Roman" w:cs="Times New Roman"/>
          <w:color w:val="000000"/>
          <w:sz w:val="20"/>
          <w:szCs w:val="20"/>
          <w:lang w:eastAsia="pt-BR"/>
        </w:rPr>
        <w:t>Fonte: SIAFI</w:t>
      </w:r>
      <w:r w:rsidR="00B84A97" w:rsidRPr="0016316B">
        <w:rPr>
          <w:rFonts w:ascii="Times New Roman" w:eastAsia="Times New Roman" w:hAnsi="Times New Roman" w:cs="Times New Roman"/>
          <w:color w:val="000000"/>
          <w:sz w:val="20"/>
          <w:szCs w:val="20"/>
          <w:lang w:eastAsia="pt-BR"/>
        </w:rPr>
        <w:t xml:space="preserve"> Web 202</w:t>
      </w:r>
      <w:r w:rsidR="00EC1FE9">
        <w:rPr>
          <w:rFonts w:ascii="Times New Roman" w:eastAsia="Times New Roman" w:hAnsi="Times New Roman" w:cs="Times New Roman"/>
          <w:color w:val="000000"/>
          <w:sz w:val="20"/>
          <w:szCs w:val="20"/>
          <w:lang w:eastAsia="pt-BR"/>
        </w:rPr>
        <w:t>5</w:t>
      </w:r>
    </w:p>
    <w:p w14:paraId="3D8923CD" w14:textId="77777777" w:rsidR="000D7884" w:rsidRDefault="000D7884" w:rsidP="00FD5E94">
      <w:pPr>
        <w:ind w:firstLine="0"/>
        <w:jc w:val="both"/>
        <w:rPr>
          <w:rFonts w:ascii="Times New Roman" w:eastAsia="Times New Roman" w:hAnsi="Times New Roman" w:cs="Times New Roman"/>
          <w:b/>
          <w:bCs/>
          <w:sz w:val="24"/>
          <w:szCs w:val="24"/>
          <w:lang w:eastAsia="pt-BR"/>
        </w:rPr>
      </w:pPr>
    </w:p>
    <w:p w14:paraId="512F3E85" w14:textId="77777777" w:rsidR="00A61C3A" w:rsidRPr="00710F3D" w:rsidRDefault="00A61C3A" w:rsidP="004B1E97">
      <w:pPr>
        <w:spacing w:before="240"/>
        <w:ind w:firstLine="0"/>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b/>
          <w:bCs/>
          <w:sz w:val="24"/>
          <w:szCs w:val="24"/>
          <w:lang w:eastAsia="pt-BR"/>
        </w:rPr>
        <w:t>2.2</w:t>
      </w:r>
      <w:r w:rsidR="00C40E28">
        <w:rPr>
          <w:rFonts w:ascii="Times New Roman" w:eastAsia="Times New Roman" w:hAnsi="Times New Roman" w:cs="Times New Roman"/>
          <w:b/>
          <w:bCs/>
          <w:sz w:val="24"/>
          <w:szCs w:val="24"/>
          <w:lang w:eastAsia="pt-BR"/>
        </w:rPr>
        <w:t>.</w:t>
      </w:r>
      <w:r w:rsidRPr="00710F3D">
        <w:rPr>
          <w:rFonts w:ascii="Times New Roman" w:eastAsia="Times New Roman" w:hAnsi="Times New Roman" w:cs="Times New Roman"/>
          <w:b/>
          <w:bCs/>
          <w:sz w:val="24"/>
          <w:szCs w:val="24"/>
          <w:lang w:eastAsia="pt-BR"/>
        </w:rPr>
        <w:t xml:space="preserve"> Objeto, objetivos e escopo da auditoria</w:t>
      </w:r>
    </w:p>
    <w:p w14:paraId="1C7E665C" w14:textId="77777777" w:rsidR="00A61C3A" w:rsidRPr="00710F3D" w:rsidRDefault="00A61C3A" w:rsidP="00FD5E94">
      <w:pPr>
        <w:spacing w:before="240"/>
        <w:ind w:right="120" w:firstLine="708"/>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color w:val="000000"/>
          <w:sz w:val="24"/>
          <w:szCs w:val="24"/>
          <w:lang w:eastAsia="pt-BR"/>
        </w:rPr>
        <w:t>As demonstrações contábeis são a representação estruturada da situação patrimonial, financeira e do desempenho da entidade. Elas devem proporcionar informação útil aos usuários para subsidiar a tomada de decisão, a prestação de contas e a responsabilização da entidade quanto aos recursos que lhe foram confiados.</w:t>
      </w:r>
    </w:p>
    <w:p w14:paraId="38299C6E" w14:textId="0F4A9BA9" w:rsidR="00A61C3A" w:rsidRPr="00710F3D" w:rsidRDefault="00A61C3A" w:rsidP="00FD5E94">
      <w:pPr>
        <w:spacing w:before="240"/>
        <w:ind w:right="120" w:firstLine="708"/>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color w:val="000000"/>
          <w:sz w:val="24"/>
          <w:szCs w:val="24"/>
          <w:lang w:eastAsia="pt-BR"/>
        </w:rPr>
        <w:t xml:space="preserve">Segundo o Manual de Contabilidade Aplicada ao Setor </w:t>
      </w:r>
      <w:r w:rsidRPr="00B15632">
        <w:rPr>
          <w:rFonts w:ascii="Times New Roman" w:eastAsia="Times New Roman" w:hAnsi="Times New Roman" w:cs="Times New Roman"/>
          <w:color w:val="000000"/>
          <w:sz w:val="24"/>
          <w:szCs w:val="24"/>
          <w:lang w:eastAsia="pt-BR"/>
        </w:rPr>
        <w:t xml:space="preserve">Público – </w:t>
      </w:r>
      <w:hyperlink r:id="rId24" w:history="1">
        <w:r w:rsidR="00B15632" w:rsidRPr="00FD218D">
          <w:rPr>
            <w:rStyle w:val="Hyperlink"/>
            <w:rFonts w:ascii="Times New Roman" w:hAnsi="Times New Roman" w:cs="Times New Roman"/>
            <w:sz w:val="24"/>
            <w:szCs w:val="24"/>
          </w:rPr>
          <w:t>MCASP 1</w:t>
        </w:r>
        <w:r w:rsidR="00FD218D" w:rsidRPr="00FD218D">
          <w:rPr>
            <w:rStyle w:val="Hyperlink"/>
            <w:rFonts w:ascii="Times New Roman" w:hAnsi="Times New Roman" w:cs="Times New Roman"/>
            <w:sz w:val="24"/>
            <w:szCs w:val="24"/>
          </w:rPr>
          <w:t>1</w:t>
        </w:r>
        <w:r w:rsidR="00B15632" w:rsidRPr="00FD218D">
          <w:rPr>
            <w:rStyle w:val="Hyperlink"/>
            <w:rFonts w:ascii="Times New Roman" w:hAnsi="Times New Roman" w:cs="Times New Roman"/>
            <w:sz w:val="24"/>
            <w:szCs w:val="24"/>
          </w:rPr>
          <w:t>ª edição</w:t>
        </w:r>
      </w:hyperlink>
      <w:r w:rsidRPr="00710F3D">
        <w:rPr>
          <w:rFonts w:ascii="Times New Roman" w:eastAsia="Times New Roman" w:hAnsi="Times New Roman" w:cs="Times New Roman"/>
          <w:color w:val="000000"/>
          <w:sz w:val="24"/>
          <w:szCs w:val="24"/>
          <w:lang w:eastAsia="pt-BR"/>
        </w:rPr>
        <w:t>, o Balanço Patrimonial é a demonstração contábil que evidencia, qualitativa e quantitativamente, a situação patrimonial da entidade pública por meio de contas representativas do patrimônio público, bem como os atos potenciais, que são registrados em contas de compensação (natureza de informação de controle). Já o Balanço Orçamentário evidencia as receitas detalhadas por categoria econômica e origem, especificando a previsão inicial, a previsão atualizada para o exercício, a receita realizada e o saldo, que corresponde ao excesso ou insuficiência de arrecadação. Demonstra, também, as despesas por categoria econômica e grupo de natureza de despesa, discriminando a dotação inicial, a dotação atualizada para o exercício, as despesas empenhadas, as despesas liquidadas, as despesas pagas e o saldo da dotação.</w:t>
      </w:r>
    </w:p>
    <w:p w14:paraId="2F630CF7" w14:textId="77777777" w:rsidR="00A61C3A" w:rsidRPr="00710F3D" w:rsidRDefault="00A61C3A" w:rsidP="00FD5E94">
      <w:pPr>
        <w:spacing w:before="240"/>
        <w:ind w:right="120" w:firstLine="708"/>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color w:val="000000"/>
          <w:sz w:val="24"/>
          <w:szCs w:val="24"/>
          <w:lang w:eastAsia="pt-BR"/>
        </w:rPr>
        <w:t>Por sua vez, a Demonstração das Variações Patrimoniais - DVP evidencia as alterações verificadas no patrimônio, resultantes ou independentes da execução orçamentária, e indica o resultado patrimonial do exercício. O Balanço Financeiro demonstra as receitas e despesas orçamentárias, bem como os ingressos e dispêndios extraorçamentários, conjugados com os saldos de caixa do exercício anterior e os que se transferem para o início do exercício seguinte. A Demonstração dos Fluxos de Caixa – DFC apresenta as entradas e saídas de caixa e as classifica em fluxos operacional, de investimento e de fi</w:t>
      </w:r>
      <w:r w:rsidR="002563DB">
        <w:rPr>
          <w:rFonts w:ascii="Times New Roman" w:eastAsia="Times New Roman" w:hAnsi="Times New Roman" w:cs="Times New Roman"/>
          <w:color w:val="000000"/>
          <w:sz w:val="24"/>
          <w:szCs w:val="24"/>
          <w:lang w:eastAsia="pt-BR"/>
        </w:rPr>
        <w:t>nanciamento. Por fim, as Notas E</w:t>
      </w:r>
      <w:r w:rsidRPr="00710F3D">
        <w:rPr>
          <w:rFonts w:ascii="Times New Roman" w:eastAsia="Times New Roman" w:hAnsi="Times New Roman" w:cs="Times New Roman"/>
          <w:color w:val="000000"/>
          <w:sz w:val="24"/>
          <w:szCs w:val="24"/>
          <w:lang w:eastAsia="pt-BR"/>
        </w:rPr>
        <w:t xml:space="preserve">xplicativas têm por objetivo facilitar a compreensão, por parte de seus usuários, </w:t>
      </w:r>
      <w:r w:rsidR="00D4668C">
        <w:rPr>
          <w:rFonts w:ascii="Times New Roman" w:eastAsia="Times New Roman" w:hAnsi="Times New Roman" w:cs="Times New Roman"/>
          <w:color w:val="000000"/>
          <w:sz w:val="24"/>
          <w:szCs w:val="24"/>
          <w:lang w:eastAsia="pt-BR"/>
        </w:rPr>
        <w:t>das</w:t>
      </w:r>
      <w:r w:rsidRPr="00710F3D">
        <w:rPr>
          <w:rFonts w:ascii="Times New Roman" w:eastAsia="Times New Roman" w:hAnsi="Times New Roman" w:cs="Times New Roman"/>
          <w:color w:val="000000"/>
          <w:sz w:val="24"/>
          <w:szCs w:val="24"/>
          <w:lang w:eastAsia="pt-BR"/>
        </w:rPr>
        <w:t xml:space="preserve"> demonstrações contábeis.</w:t>
      </w:r>
    </w:p>
    <w:p w14:paraId="05F533E1" w14:textId="78304199" w:rsidR="00A61C3A" w:rsidRDefault="00A61C3A" w:rsidP="00FD5E94">
      <w:pPr>
        <w:spacing w:before="240"/>
        <w:ind w:right="120" w:firstLine="708"/>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sz w:val="24"/>
          <w:szCs w:val="24"/>
          <w:lang w:eastAsia="pt-BR"/>
        </w:rPr>
        <w:t>Esta auditoria financeira integrada com conformidade teve como objeto</w:t>
      </w:r>
      <w:r w:rsidR="00E605F3">
        <w:rPr>
          <w:rFonts w:ascii="Times New Roman" w:eastAsia="Times New Roman" w:hAnsi="Times New Roman" w:cs="Times New Roman"/>
          <w:sz w:val="24"/>
          <w:szCs w:val="24"/>
          <w:lang w:eastAsia="pt-BR"/>
        </w:rPr>
        <w:t>: a)</w:t>
      </w:r>
      <w:r w:rsidRPr="00710F3D">
        <w:rPr>
          <w:rFonts w:ascii="Times New Roman" w:eastAsia="Times New Roman" w:hAnsi="Times New Roman" w:cs="Times New Roman"/>
          <w:sz w:val="24"/>
          <w:szCs w:val="24"/>
          <w:lang w:eastAsia="pt-BR"/>
        </w:rPr>
        <w:t xml:space="preserve"> as contas </w:t>
      </w:r>
      <w:r w:rsidR="00DF3B08">
        <w:rPr>
          <w:rFonts w:ascii="Times New Roman" w:eastAsia="Times New Roman" w:hAnsi="Times New Roman" w:cs="Times New Roman"/>
          <w:sz w:val="24"/>
          <w:szCs w:val="24"/>
          <w:lang w:eastAsia="pt-BR"/>
        </w:rPr>
        <w:t>–</w:t>
      </w:r>
      <w:r w:rsidRPr="00710F3D">
        <w:rPr>
          <w:rFonts w:ascii="Times New Roman" w:eastAsia="Times New Roman" w:hAnsi="Times New Roman" w:cs="Times New Roman"/>
          <w:sz w:val="24"/>
          <w:szCs w:val="24"/>
          <w:lang w:eastAsia="pt-BR"/>
        </w:rPr>
        <w:t xml:space="preserve"> selecionadas pela relevância financeira e pela natureza, conforme julgamento profissional da equipe de auditoria</w:t>
      </w:r>
      <w:r w:rsidR="00DF3B08">
        <w:rPr>
          <w:rFonts w:ascii="Times New Roman" w:eastAsia="Times New Roman" w:hAnsi="Times New Roman" w:cs="Times New Roman"/>
          <w:sz w:val="24"/>
          <w:szCs w:val="24"/>
          <w:lang w:eastAsia="pt-BR"/>
        </w:rPr>
        <w:t xml:space="preserve"> –</w:t>
      </w:r>
      <w:r w:rsidRPr="00710F3D">
        <w:rPr>
          <w:rFonts w:ascii="Times New Roman" w:eastAsia="Times New Roman" w:hAnsi="Times New Roman" w:cs="Times New Roman"/>
          <w:sz w:val="24"/>
          <w:szCs w:val="24"/>
          <w:lang w:eastAsia="pt-BR"/>
        </w:rPr>
        <w:t xml:space="preserve"> compreendidas nos Balanços Patrimonial</w:t>
      </w:r>
      <w:r w:rsidR="005108B0">
        <w:rPr>
          <w:rFonts w:ascii="Times New Roman" w:eastAsia="Times New Roman" w:hAnsi="Times New Roman" w:cs="Times New Roman"/>
          <w:sz w:val="24"/>
          <w:szCs w:val="24"/>
          <w:lang w:eastAsia="pt-BR"/>
        </w:rPr>
        <w:t xml:space="preserve">, </w:t>
      </w:r>
      <w:r w:rsidRPr="00710F3D">
        <w:rPr>
          <w:rFonts w:ascii="Times New Roman" w:eastAsia="Times New Roman" w:hAnsi="Times New Roman" w:cs="Times New Roman"/>
          <w:sz w:val="24"/>
          <w:szCs w:val="24"/>
          <w:lang w:eastAsia="pt-BR"/>
        </w:rPr>
        <w:t>Orçame</w:t>
      </w:r>
      <w:r w:rsidR="007B6549">
        <w:rPr>
          <w:rFonts w:ascii="Times New Roman" w:eastAsia="Times New Roman" w:hAnsi="Times New Roman" w:cs="Times New Roman"/>
          <w:sz w:val="24"/>
          <w:szCs w:val="24"/>
          <w:lang w:eastAsia="pt-BR"/>
        </w:rPr>
        <w:t xml:space="preserve">ntário </w:t>
      </w:r>
      <w:r w:rsidR="005108B0">
        <w:rPr>
          <w:rFonts w:ascii="Times New Roman" w:eastAsia="Times New Roman" w:hAnsi="Times New Roman" w:cs="Times New Roman"/>
          <w:sz w:val="24"/>
          <w:szCs w:val="24"/>
          <w:lang w:eastAsia="pt-BR"/>
        </w:rPr>
        <w:t xml:space="preserve">e Financeiro </w:t>
      </w:r>
      <w:r w:rsidR="007B6549">
        <w:rPr>
          <w:rFonts w:ascii="Times New Roman" w:eastAsia="Times New Roman" w:hAnsi="Times New Roman" w:cs="Times New Roman"/>
          <w:sz w:val="24"/>
          <w:szCs w:val="24"/>
          <w:lang w:eastAsia="pt-BR"/>
        </w:rPr>
        <w:t>em 31 de dezembro de 202</w:t>
      </w:r>
      <w:r w:rsidR="00455824">
        <w:rPr>
          <w:rFonts w:ascii="Times New Roman" w:eastAsia="Times New Roman" w:hAnsi="Times New Roman" w:cs="Times New Roman"/>
          <w:sz w:val="24"/>
          <w:szCs w:val="24"/>
          <w:lang w:eastAsia="pt-BR"/>
        </w:rPr>
        <w:t>5</w:t>
      </w:r>
      <w:r w:rsidR="00895837">
        <w:rPr>
          <w:rFonts w:ascii="Times New Roman" w:eastAsia="Times New Roman" w:hAnsi="Times New Roman" w:cs="Times New Roman"/>
          <w:sz w:val="24"/>
          <w:szCs w:val="24"/>
          <w:lang w:eastAsia="pt-BR"/>
        </w:rPr>
        <w:t xml:space="preserve"> e </w:t>
      </w:r>
      <w:r w:rsidRPr="00710F3D">
        <w:rPr>
          <w:rFonts w:ascii="Times New Roman" w:eastAsia="Times New Roman" w:hAnsi="Times New Roman" w:cs="Times New Roman"/>
          <w:sz w:val="24"/>
          <w:szCs w:val="24"/>
          <w:lang w:eastAsia="pt-BR"/>
        </w:rPr>
        <w:t>nas Demonstrações das Variações Patrimoniais</w:t>
      </w:r>
      <w:r w:rsidR="005108B0">
        <w:rPr>
          <w:rFonts w:ascii="Times New Roman" w:eastAsia="Times New Roman" w:hAnsi="Times New Roman" w:cs="Times New Roman"/>
          <w:sz w:val="24"/>
          <w:szCs w:val="24"/>
          <w:lang w:eastAsia="pt-BR"/>
        </w:rPr>
        <w:t xml:space="preserve"> e dos Fluxos de Caixa</w:t>
      </w:r>
      <w:r w:rsidRPr="00710F3D">
        <w:rPr>
          <w:rFonts w:ascii="Times New Roman" w:eastAsia="Times New Roman" w:hAnsi="Times New Roman" w:cs="Times New Roman"/>
          <w:sz w:val="24"/>
          <w:szCs w:val="24"/>
          <w:lang w:eastAsia="pt-BR"/>
        </w:rPr>
        <w:t xml:space="preserve"> para o exercício findo </w:t>
      </w:r>
      <w:r w:rsidR="00121CE6">
        <w:rPr>
          <w:rFonts w:ascii="Times New Roman" w:eastAsia="Times New Roman" w:hAnsi="Times New Roman" w:cs="Times New Roman"/>
          <w:sz w:val="24"/>
          <w:szCs w:val="24"/>
          <w:lang w:eastAsia="pt-BR"/>
        </w:rPr>
        <w:t>em 31 de dezembro de 202</w:t>
      </w:r>
      <w:r w:rsidR="00455824">
        <w:rPr>
          <w:rFonts w:ascii="Times New Roman" w:eastAsia="Times New Roman" w:hAnsi="Times New Roman" w:cs="Times New Roman"/>
          <w:sz w:val="24"/>
          <w:szCs w:val="24"/>
          <w:lang w:eastAsia="pt-BR"/>
        </w:rPr>
        <w:t>5</w:t>
      </w:r>
      <w:r w:rsidRPr="00710F3D">
        <w:rPr>
          <w:rFonts w:ascii="Times New Roman" w:eastAsia="Times New Roman" w:hAnsi="Times New Roman" w:cs="Times New Roman"/>
          <w:sz w:val="24"/>
          <w:szCs w:val="24"/>
          <w:lang w:eastAsia="pt-BR"/>
        </w:rPr>
        <w:t>, com as correspondentes Notas Explicativas, incluindo o resumo das principais políticas contábeis</w:t>
      </w:r>
      <w:r w:rsidR="00AA07E5">
        <w:rPr>
          <w:rFonts w:ascii="Times New Roman" w:eastAsia="Times New Roman" w:hAnsi="Times New Roman" w:cs="Times New Roman"/>
          <w:sz w:val="24"/>
          <w:szCs w:val="24"/>
          <w:lang w:eastAsia="pt-BR"/>
        </w:rPr>
        <w:t>;</w:t>
      </w:r>
      <w:r w:rsidR="00E605F3">
        <w:rPr>
          <w:rFonts w:ascii="Times New Roman" w:eastAsia="Times New Roman" w:hAnsi="Times New Roman" w:cs="Times New Roman"/>
          <w:sz w:val="24"/>
          <w:szCs w:val="24"/>
          <w:lang w:eastAsia="pt-BR"/>
        </w:rPr>
        <w:t xml:space="preserve"> </w:t>
      </w:r>
      <w:r w:rsidR="00802B7B">
        <w:rPr>
          <w:rFonts w:ascii="Times New Roman" w:eastAsia="Times New Roman" w:hAnsi="Times New Roman" w:cs="Times New Roman"/>
          <w:sz w:val="24"/>
          <w:szCs w:val="24"/>
          <w:lang w:eastAsia="pt-BR"/>
        </w:rPr>
        <w:t>e</w:t>
      </w:r>
      <w:r w:rsidRPr="00710F3D">
        <w:rPr>
          <w:rFonts w:ascii="Times New Roman" w:eastAsia="Times New Roman" w:hAnsi="Times New Roman" w:cs="Times New Roman"/>
          <w:sz w:val="24"/>
          <w:szCs w:val="24"/>
          <w:lang w:eastAsia="pt-BR"/>
        </w:rPr>
        <w:t xml:space="preserve"> </w:t>
      </w:r>
      <w:r w:rsidR="00E605F3">
        <w:rPr>
          <w:rFonts w:ascii="Times New Roman" w:eastAsia="Times New Roman" w:hAnsi="Times New Roman" w:cs="Times New Roman"/>
          <w:sz w:val="24"/>
          <w:szCs w:val="24"/>
          <w:lang w:eastAsia="pt-BR"/>
        </w:rPr>
        <w:t xml:space="preserve">b) </w:t>
      </w:r>
      <w:r w:rsidRPr="00710F3D">
        <w:rPr>
          <w:rFonts w:ascii="Times New Roman" w:eastAsia="Times New Roman" w:hAnsi="Times New Roman" w:cs="Times New Roman"/>
          <w:sz w:val="24"/>
          <w:szCs w:val="24"/>
          <w:lang w:eastAsia="pt-BR"/>
        </w:rPr>
        <w:t xml:space="preserve">as operações, transações </w:t>
      </w:r>
      <w:r w:rsidR="00895837">
        <w:rPr>
          <w:rFonts w:ascii="Times New Roman" w:eastAsia="Times New Roman" w:hAnsi="Times New Roman" w:cs="Times New Roman"/>
          <w:sz w:val="24"/>
          <w:szCs w:val="24"/>
          <w:lang w:eastAsia="pt-BR"/>
        </w:rPr>
        <w:t>e</w:t>
      </w:r>
      <w:r w:rsidR="00895837" w:rsidRPr="00710F3D">
        <w:rPr>
          <w:rFonts w:ascii="Times New Roman" w:eastAsia="Times New Roman" w:hAnsi="Times New Roman" w:cs="Times New Roman"/>
          <w:sz w:val="24"/>
          <w:szCs w:val="24"/>
          <w:lang w:eastAsia="pt-BR"/>
        </w:rPr>
        <w:t xml:space="preserve"> </w:t>
      </w:r>
      <w:r w:rsidRPr="00710F3D">
        <w:rPr>
          <w:rFonts w:ascii="Times New Roman" w:eastAsia="Times New Roman" w:hAnsi="Times New Roman" w:cs="Times New Roman"/>
          <w:sz w:val="24"/>
          <w:szCs w:val="24"/>
          <w:lang w:eastAsia="pt-BR"/>
        </w:rPr>
        <w:t>atos de gestão relevantes dos responsáveis, subjacentes às demonstrações contábeis.</w:t>
      </w:r>
    </w:p>
    <w:p w14:paraId="2AD3F18B" w14:textId="6066A069" w:rsidR="00A61C3A" w:rsidRPr="00710F3D" w:rsidRDefault="00A61C3A" w:rsidP="00FD5E94">
      <w:pPr>
        <w:spacing w:before="240"/>
        <w:ind w:right="120" w:firstLine="708"/>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color w:val="000000"/>
          <w:sz w:val="24"/>
          <w:szCs w:val="24"/>
          <w:lang w:eastAsia="pt-BR"/>
        </w:rPr>
        <w:lastRenderedPageBreak/>
        <w:t xml:space="preserve">O objetivo da auditoria </w:t>
      </w:r>
      <w:r w:rsidR="007644D5">
        <w:rPr>
          <w:rFonts w:ascii="Times New Roman" w:eastAsia="Times New Roman" w:hAnsi="Times New Roman" w:cs="Times New Roman"/>
          <w:color w:val="000000"/>
          <w:sz w:val="24"/>
          <w:szCs w:val="24"/>
          <w:lang w:eastAsia="pt-BR"/>
        </w:rPr>
        <w:t>é</w:t>
      </w:r>
      <w:r w:rsidR="007644D5" w:rsidRPr="00710F3D">
        <w:rPr>
          <w:rFonts w:ascii="Times New Roman" w:eastAsia="Times New Roman" w:hAnsi="Times New Roman" w:cs="Times New Roman"/>
          <w:color w:val="000000"/>
          <w:sz w:val="24"/>
          <w:szCs w:val="24"/>
          <w:lang w:eastAsia="pt-BR"/>
        </w:rPr>
        <w:t xml:space="preserve"> </w:t>
      </w:r>
      <w:r w:rsidRPr="00710F3D">
        <w:rPr>
          <w:rFonts w:ascii="Times New Roman" w:eastAsia="Times New Roman" w:hAnsi="Times New Roman" w:cs="Times New Roman"/>
          <w:color w:val="000000"/>
          <w:sz w:val="24"/>
          <w:szCs w:val="24"/>
          <w:lang w:eastAsia="pt-BR"/>
        </w:rPr>
        <w:t>obter segurança razoável para expressar conclusões sobre se as demonstrações contábeis acima referidas apresentam adequadamente, em todos os aspectos relevantes, a posição patrimonial, financeira e orçamentária do TRF6 em 31 de dezembro de 202</w:t>
      </w:r>
      <w:r w:rsidR="00CD7121">
        <w:rPr>
          <w:rFonts w:ascii="Times New Roman" w:eastAsia="Times New Roman" w:hAnsi="Times New Roman" w:cs="Times New Roman"/>
          <w:color w:val="000000"/>
          <w:sz w:val="24"/>
          <w:szCs w:val="24"/>
          <w:lang w:eastAsia="pt-BR"/>
        </w:rPr>
        <w:t>5</w:t>
      </w:r>
      <w:r w:rsidRPr="00710F3D">
        <w:rPr>
          <w:rFonts w:ascii="Times New Roman" w:eastAsia="Times New Roman" w:hAnsi="Times New Roman" w:cs="Times New Roman"/>
          <w:color w:val="000000"/>
          <w:sz w:val="24"/>
          <w:szCs w:val="24"/>
          <w:lang w:eastAsia="pt-BR"/>
        </w:rPr>
        <w:t xml:space="preserve">, de acordo com as práticas contábeis adotadas no Brasil aplicadas ao setor público, e se as operações, transações </w:t>
      </w:r>
      <w:r w:rsidR="008659E5">
        <w:rPr>
          <w:rFonts w:ascii="Times New Roman" w:eastAsia="Times New Roman" w:hAnsi="Times New Roman" w:cs="Times New Roman"/>
          <w:color w:val="000000"/>
          <w:sz w:val="24"/>
          <w:szCs w:val="24"/>
          <w:lang w:eastAsia="pt-BR"/>
        </w:rPr>
        <w:t>e</w:t>
      </w:r>
      <w:r w:rsidRPr="00710F3D">
        <w:rPr>
          <w:rFonts w:ascii="Times New Roman" w:eastAsia="Times New Roman" w:hAnsi="Times New Roman" w:cs="Times New Roman"/>
          <w:color w:val="000000"/>
          <w:sz w:val="24"/>
          <w:szCs w:val="24"/>
          <w:lang w:eastAsia="pt-BR"/>
        </w:rPr>
        <w:t xml:space="preserve"> atos de gestão relevantes subjacentes estão em conformidade, em todos os aspectos relevantes, com as leis e regulamentos aplicáveis e com os princípios de administração pública que regem a gestão financeira responsável e a conduta de agentes públicos.</w:t>
      </w:r>
    </w:p>
    <w:p w14:paraId="1FE61AD2" w14:textId="77777777" w:rsidR="00A61C3A" w:rsidRPr="00710F3D" w:rsidRDefault="00A61C3A" w:rsidP="00FD5E94">
      <w:pPr>
        <w:spacing w:before="240"/>
        <w:ind w:right="120" w:firstLine="708"/>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color w:val="000000"/>
          <w:sz w:val="24"/>
          <w:szCs w:val="24"/>
          <w:lang w:eastAsia="pt-BR"/>
        </w:rPr>
        <w:t>Segurança razoável é um alto nível de segurança, mas não uma garantia absoluta</w:t>
      </w:r>
      <w:r w:rsidR="008659E5">
        <w:rPr>
          <w:rFonts w:ascii="Times New Roman" w:eastAsia="Times New Roman" w:hAnsi="Times New Roman" w:cs="Times New Roman"/>
          <w:color w:val="000000"/>
          <w:sz w:val="24"/>
          <w:szCs w:val="24"/>
          <w:lang w:eastAsia="pt-BR"/>
        </w:rPr>
        <w:t>,</w:t>
      </w:r>
      <w:r w:rsidRPr="00710F3D">
        <w:rPr>
          <w:rFonts w:ascii="Times New Roman" w:eastAsia="Times New Roman" w:hAnsi="Times New Roman" w:cs="Times New Roman"/>
          <w:color w:val="000000"/>
          <w:sz w:val="24"/>
          <w:szCs w:val="24"/>
          <w:lang w:eastAsia="pt-BR"/>
        </w:rPr>
        <w:t xml:space="preserve"> de que a auditoria, conduzida de acordo com as normas brasileiras e internacionais de auditoria, sempre irá detectar uma distorção relevante ou um desvio de conformidade relevante quando existir. As distorções nas demonstrações contábeis e os desvios de conformidade nas operações, transações ou atos subjacentes podem ser decorrentes de fraude ou erro e são considerados relevantes quando, individualmente ou em conjunto, possam influenciar, dentro de uma perspectiva razoável, as decisões tomadas com base nas contas auditadas.</w:t>
      </w:r>
    </w:p>
    <w:p w14:paraId="599F9C0A" w14:textId="77777777" w:rsidR="00A61C3A" w:rsidRPr="00710F3D" w:rsidRDefault="00A61C3A" w:rsidP="00FD5E94">
      <w:pPr>
        <w:ind w:right="119" w:firstLine="0"/>
        <w:jc w:val="both"/>
        <w:rPr>
          <w:rFonts w:ascii="Times New Roman" w:eastAsia="Times New Roman" w:hAnsi="Times New Roman" w:cs="Times New Roman"/>
          <w:sz w:val="24"/>
          <w:szCs w:val="24"/>
          <w:lang w:eastAsia="pt-BR"/>
        </w:rPr>
      </w:pPr>
    </w:p>
    <w:p w14:paraId="5B321CD9" w14:textId="77777777" w:rsidR="00A61C3A" w:rsidRPr="00710F3D" w:rsidRDefault="00A61C3A" w:rsidP="004B1E97">
      <w:pPr>
        <w:spacing w:before="240"/>
        <w:ind w:right="120" w:firstLine="0"/>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b/>
          <w:bCs/>
          <w:sz w:val="24"/>
          <w:szCs w:val="24"/>
          <w:lang w:eastAsia="pt-BR"/>
        </w:rPr>
        <w:t>2.3</w:t>
      </w:r>
      <w:r w:rsidR="00C40E28">
        <w:rPr>
          <w:rFonts w:ascii="Times New Roman" w:eastAsia="Times New Roman" w:hAnsi="Times New Roman" w:cs="Times New Roman"/>
          <w:b/>
          <w:bCs/>
          <w:sz w:val="24"/>
          <w:szCs w:val="24"/>
          <w:lang w:eastAsia="pt-BR"/>
        </w:rPr>
        <w:t>.</w:t>
      </w:r>
      <w:r w:rsidRPr="00710F3D">
        <w:rPr>
          <w:rFonts w:ascii="Times New Roman" w:eastAsia="Times New Roman" w:hAnsi="Times New Roman" w:cs="Times New Roman"/>
          <w:b/>
          <w:bCs/>
          <w:sz w:val="24"/>
          <w:szCs w:val="24"/>
          <w:lang w:eastAsia="pt-BR"/>
        </w:rPr>
        <w:t xml:space="preserve"> Não escopo</w:t>
      </w:r>
    </w:p>
    <w:p w14:paraId="2C899C48" w14:textId="77777777" w:rsidR="003B5123" w:rsidRDefault="00A61C3A" w:rsidP="00092589">
      <w:pPr>
        <w:spacing w:before="240"/>
        <w:ind w:right="120" w:firstLine="708"/>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color w:val="000000"/>
          <w:sz w:val="24"/>
          <w:szCs w:val="24"/>
          <w:lang w:eastAsia="pt-BR"/>
        </w:rPr>
        <w:t>Não integram o escopo da auditoria:</w:t>
      </w:r>
    </w:p>
    <w:p w14:paraId="363D3BC4" w14:textId="77777777" w:rsidR="005A3B8D" w:rsidRPr="005A3B8D" w:rsidRDefault="005A3B8D" w:rsidP="004B1E97">
      <w:pPr>
        <w:spacing w:before="240"/>
        <w:ind w:left="708" w:right="119" w:firstLine="0"/>
        <w:jc w:val="both"/>
        <w:rPr>
          <w:rFonts w:ascii="Times New Roman" w:eastAsia="Times New Roman" w:hAnsi="Times New Roman" w:cs="Times New Roman"/>
          <w:color w:val="000000"/>
          <w:sz w:val="24"/>
          <w:szCs w:val="24"/>
          <w:lang w:eastAsia="pt-BR"/>
        </w:rPr>
      </w:pPr>
      <w:r w:rsidRPr="005A3B8D">
        <w:rPr>
          <w:rFonts w:ascii="Times New Roman" w:eastAsia="Times New Roman" w:hAnsi="Times New Roman" w:cs="Times New Roman"/>
          <w:b/>
          <w:bCs/>
          <w:color w:val="000000"/>
          <w:sz w:val="24"/>
          <w:szCs w:val="24"/>
          <w:lang w:eastAsia="pt-BR"/>
        </w:rPr>
        <w:t>(a)</w:t>
      </w:r>
      <w:r w:rsidRPr="005A3B8D">
        <w:rPr>
          <w:rFonts w:ascii="Times New Roman" w:eastAsia="Times New Roman" w:hAnsi="Times New Roman" w:cs="Times New Roman"/>
          <w:color w:val="000000"/>
          <w:sz w:val="24"/>
          <w:szCs w:val="24"/>
          <w:lang w:eastAsia="pt-BR"/>
        </w:rPr>
        <w:t> o exame do Relatório de Gestão;</w:t>
      </w:r>
    </w:p>
    <w:p w14:paraId="662A9E39" w14:textId="095D5F97" w:rsidR="005A3B8D" w:rsidRPr="005A3B8D" w:rsidRDefault="005A3B8D" w:rsidP="004B1E97">
      <w:pPr>
        <w:spacing w:before="240"/>
        <w:ind w:left="708" w:right="119" w:firstLine="0"/>
        <w:jc w:val="both"/>
        <w:rPr>
          <w:rFonts w:ascii="Times New Roman" w:eastAsia="Times New Roman" w:hAnsi="Times New Roman" w:cs="Times New Roman"/>
          <w:color w:val="000000"/>
          <w:sz w:val="24"/>
          <w:szCs w:val="24"/>
          <w:lang w:eastAsia="pt-BR"/>
        </w:rPr>
      </w:pPr>
      <w:r w:rsidRPr="005A3B8D">
        <w:rPr>
          <w:rFonts w:ascii="Times New Roman" w:eastAsia="Times New Roman" w:hAnsi="Times New Roman" w:cs="Times New Roman"/>
          <w:b/>
          <w:bCs/>
          <w:color w:val="000000"/>
          <w:sz w:val="24"/>
          <w:szCs w:val="24"/>
          <w:lang w:eastAsia="pt-BR"/>
        </w:rPr>
        <w:t>(b) </w:t>
      </w:r>
      <w:r w:rsidRPr="005A3B8D">
        <w:rPr>
          <w:rFonts w:ascii="Times New Roman" w:eastAsia="Times New Roman" w:hAnsi="Times New Roman" w:cs="Times New Roman"/>
          <w:color w:val="000000"/>
          <w:sz w:val="24"/>
          <w:szCs w:val="24"/>
          <w:shd w:val="clear" w:color="auto" w:fill="FFFFFF"/>
          <w:lang w:eastAsia="pt-BR"/>
        </w:rPr>
        <w:t>os exames para verificar se as receitas de transferências do Orçamento Geral</w:t>
      </w:r>
      <w:r w:rsidR="00A6096B">
        <w:rPr>
          <w:rFonts w:ascii="Times New Roman" w:eastAsia="Times New Roman" w:hAnsi="Times New Roman" w:cs="Times New Roman"/>
          <w:color w:val="000000"/>
          <w:sz w:val="24"/>
          <w:szCs w:val="24"/>
          <w:shd w:val="clear" w:color="auto" w:fill="FFFFFF"/>
          <w:lang w:eastAsia="pt-BR"/>
        </w:rPr>
        <w:t xml:space="preserve"> da União - OGU</w:t>
      </w:r>
      <w:r w:rsidR="001D5943">
        <w:rPr>
          <w:rFonts w:ascii="Times New Roman" w:eastAsia="Times New Roman" w:hAnsi="Times New Roman" w:cs="Times New Roman"/>
          <w:color w:val="000000"/>
          <w:sz w:val="24"/>
          <w:szCs w:val="24"/>
          <w:shd w:val="clear" w:color="auto" w:fill="FFFFFF"/>
          <w:lang w:eastAsia="pt-BR"/>
        </w:rPr>
        <w:t xml:space="preserve"> no âmbito da Justiça Federal da 6ª Região</w:t>
      </w:r>
      <w:r w:rsidRPr="005A3B8D">
        <w:rPr>
          <w:rFonts w:ascii="Times New Roman" w:eastAsia="Times New Roman" w:hAnsi="Times New Roman" w:cs="Times New Roman"/>
          <w:color w:val="000000"/>
          <w:sz w:val="24"/>
          <w:szCs w:val="24"/>
          <w:shd w:val="clear" w:color="auto" w:fill="FFFFFF"/>
          <w:lang w:eastAsia="pt-BR"/>
        </w:rPr>
        <w:t>, apresentadas na Demonstração das Variações Patrimoniais, em 31/12/202</w:t>
      </w:r>
      <w:r w:rsidR="00CD7121">
        <w:rPr>
          <w:rFonts w:ascii="Times New Roman" w:eastAsia="Times New Roman" w:hAnsi="Times New Roman" w:cs="Times New Roman"/>
          <w:color w:val="000000"/>
          <w:sz w:val="24"/>
          <w:szCs w:val="24"/>
          <w:shd w:val="clear" w:color="auto" w:fill="FFFFFF"/>
          <w:lang w:eastAsia="pt-BR"/>
        </w:rPr>
        <w:t>5</w:t>
      </w:r>
      <w:r w:rsidRPr="005A3B8D">
        <w:rPr>
          <w:rFonts w:ascii="Times New Roman" w:eastAsia="Times New Roman" w:hAnsi="Times New Roman" w:cs="Times New Roman"/>
          <w:color w:val="000000"/>
          <w:sz w:val="24"/>
          <w:szCs w:val="24"/>
          <w:shd w:val="clear" w:color="auto" w:fill="FFFFFF"/>
          <w:lang w:eastAsia="pt-BR"/>
        </w:rPr>
        <w:t xml:space="preserve">, estão livres de distorções relevantes, pois tais receitas, excetuadas eventuais receitas próprias, são arrecadadas pela Receita Federal do Brasil, no nível do OGU, e são examinadas </w:t>
      </w:r>
      <w:r w:rsidR="00B15B73">
        <w:rPr>
          <w:rFonts w:ascii="Times New Roman" w:eastAsia="Times New Roman" w:hAnsi="Times New Roman" w:cs="Times New Roman"/>
          <w:color w:val="000000"/>
          <w:sz w:val="24"/>
          <w:szCs w:val="24"/>
          <w:shd w:val="clear" w:color="auto" w:fill="FFFFFF"/>
          <w:lang w:eastAsia="pt-BR"/>
        </w:rPr>
        <w:t xml:space="preserve">pelo </w:t>
      </w:r>
      <w:r w:rsidRPr="005A3B8D">
        <w:rPr>
          <w:rFonts w:ascii="Times New Roman" w:eastAsia="Times New Roman" w:hAnsi="Times New Roman" w:cs="Times New Roman"/>
          <w:color w:val="000000"/>
          <w:sz w:val="24"/>
          <w:szCs w:val="24"/>
          <w:shd w:val="clear" w:color="auto" w:fill="FFFFFF"/>
          <w:lang w:eastAsia="pt-BR"/>
        </w:rPr>
        <w:t>TCU, que emite opinião de auditoria sobre elas;</w:t>
      </w:r>
    </w:p>
    <w:p w14:paraId="0C04F09D" w14:textId="77777777" w:rsidR="005A3B8D" w:rsidRPr="005A3B8D" w:rsidRDefault="005A3B8D" w:rsidP="004B1E97">
      <w:pPr>
        <w:spacing w:before="240"/>
        <w:ind w:left="708" w:right="119" w:firstLine="0"/>
        <w:jc w:val="both"/>
        <w:rPr>
          <w:rFonts w:ascii="Times New Roman" w:eastAsia="Times New Roman" w:hAnsi="Times New Roman" w:cs="Times New Roman"/>
          <w:color w:val="000000"/>
          <w:sz w:val="24"/>
          <w:szCs w:val="24"/>
          <w:lang w:eastAsia="pt-BR"/>
        </w:rPr>
      </w:pPr>
      <w:r w:rsidRPr="005A3B8D">
        <w:rPr>
          <w:rFonts w:ascii="Times New Roman" w:eastAsia="Times New Roman" w:hAnsi="Times New Roman" w:cs="Times New Roman"/>
          <w:b/>
          <w:bCs/>
          <w:color w:val="000000"/>
          <w:sz w:val="24"/>
          <w:szCs w:val="24"/>
          <w:shd w:val="clear" w:color="auto" w:fill="FFFFFF"/>
          <w:lang w:eastAsia="pt-BR"/>
        </w:rPr>
        <w:t>(c) </w:t>
      </w:r>
      <w:r w:rsidRPr="005A3B8D">
        <w:rPr>
          <w:rFonts w:ascii="Times New Roman" w:eastAsia="Times New Roman" w:hAnsi="Times New Roman" w:cs="Times New Roman"/>
          <w:color w:val="000000"/>
          <w:sz w:val="24"/>
          <w:szCs w:val="24"/>
          <w:shd w:val="clear" w:color="auto" w:fill="FFFFFF"/>
          <w:lang w:eastAsia="pt-BR"/>
        </w:rPr>
        <w:t>receitas provenientes da arrecadação de custas da Justiça Federal da 6ª Região;</w:t>
      </w:r>
      <w:r w:rsidR="00D31265">
        <w:rPr>
          <w:rFonts w:ascii="Times New Roman" w:eastAsia="Times New Roman" w:hAnsi="Times New Roman" w:cs="Times New Roman"/>
          <w:color w:val="000000"/>
          <w:sz w:val="24"/>
          <w:szCs w:val="24"/>
          <w:shd w:val="clear" w:color="auto" w:fill="FFFFFF"/>
          <w:lang w:eastAsia="pt-BR"/>
        </w:rPr>
        <w:t xml:space="preserve"> e</w:t>
      </w:r>
    </w:p>
    <w:p w14:paraId="348F6CD6" w14:textId="08731925" w:rsidR="005A3B8D" w:rsidRPr="005A3B8D" w:rsidRDefault="009C6551" w:rsidP="004B1E97">
      <w:pPr>
        <w:spacing w:before="240"/>
        <w:ind w:left="708" w:right="119" w:firstLine="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(d</w:t>
      </w:r>
      <w:r w:rsidR="005A3B8D" w:rsidRPr="005A3B8D">
        <w:rPr>
          <w:rFonts w:ascii="Times New Roman" w:eastAsia="Times New Roman" w:hAnsi="Times New Roman" w:cs="Times New Roman"/>
          <w:b/>
          <w:bCs/>
          <w:color w:val="000000"/>
          <w:sz w:val="24"/>
          <w:szCs w:val="24"/>
          <w:lang w:eastAsia="pt-BR"/>
        </w:rPr>
        <w:t>)</w:t>
      </w:r>
      <w:r w:rsidR="00D31265">
        <w:rPr>
          <w:rFonts w:ascii="Times New Roman" w:eastAsia="Times New Roman" w:hAnsi="Times New Roman" w:cs="Times New Roman"/>
          <w:b/>
          <w:bCs/>
          <w:color w:val="000000"/>
          <w:sz w:val="24"/>
          <w:szCs w:val="24"/>
          <w:lang w:eastAsia="pt-BR"/>
        </w:rPr>
        <w:t xml:space="preserve"> </w:t>
      </w:r>
      <w:r w:rsidR="00CD7121" w:rsidRPr="00CD7121">
        <w:rPr>
          <w:rFonts w:ascii="Times New Roman" w:eastAsia="Times New Roman" w:hAnsi="Times New Roman" w:cs="Times New Roman"/>
          <w:color w:val="000000"/>
          <w:sz w:val="24"/>
          <w:szCs w:val="24"/>
          <w:lang w:eastAsia="pt-BR"/>
        </w:rPr>
        <w:t>a conta significativa 123210102 - Edifícios não foi incluída no escopo da auditoria de 2025 porque já foi objeto de auditoria detalhada no exercício de 2024, não tendo apresentado alterações em seu saldo desde então. Ademais, permanecem pendentes diversas recomendações emitidas na auditoria anterior, de modo que, neste exercício, a prioridade recai sobre o monitoramento de sua implementação</w:t>
      </w:r>
      <w:r w:rsidR="003F0524">
        <w:rPr>
          <w:rFonts w:ascii="Times New Roman" w:eastAsia="Times New Roman" w:hAnsi="Times New Roman" w:cs="Times New Roman"/>
          <w:color w:val="000000"/>
          <w:sz w:val="24"/>
          <w:szCs w:val="24"/>
          <w:lang w:eastAsia="pt-BR"/>
        </w:rPr>
        <w:t>.</w:t>
      </w:r>
    </w:p>
    <w:p w14:paraId="7D4F1140" w14:textId="77777777" w:rsidR="00955A88" w:rsidRDefault="00955A88" w:rsidP="00092589">
      <w:pPr>
        <w:ind w:right="119" w:firstLine="0"/>
        <w:jc w:val="both"/>
        <w:rPr>
          <w:rFonts w:ascii="Times New Roman" w:eastAsia="Times New Roman" w:hAnsi="Times New Roman" w:cs="Times New Roman"/>
          <w:sz w:val="24"/>
          <w:szCs w:val="24"/>
          <w:lang w:eastAsia="pt-BR"/>
        </w:rPr>
      </w:pPr>
    </w:p>
    <w:p w14:paraId="5D55B757" w14:textId="77777777" w:rsidR="00A61C3A" w:rsidRPr="00710F3D" w:rsidRDefault="00A61C3A" w:rsidP="004B1E97">
      <w:pPr>
        <w:spacing w:before="240"/>
        <w:ind w:right="120" w:firstLine="0"/>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b/>
          <w:bCs/>
          <w:sz w:val="24"/>
          <w:szCs w:val="24"/>
          <w:lang w:eastAsia="pt-BR"/>
        </w:rPr>
        <w:t>2.4</w:t>
      </w:r>
      <w:r w:rsidR="00C40E28">
        <w:rPr>
          <w:rFonts w:ascii="Times New Roman" w:eastAsia="Times New Roman" w:hAnsi="Times New Roman" w:cs="Times New Roman"/>
          <w:b/>
          <w:bCs/>
          <w:sz w:val="24"/>
          <w:szCs w:val="24"/>
          <w:lang w:eastAsia="pt-BR"/>
        </w:rPr>
        <w:t>.</w:t>
      </w:r>
      <w:r w:rsidRPr="00710F3D">
        <w:rPr>
          <w:rFonts w:ascii="Times New Roman" w:eastAsia="Times New Roman" w:hAnsi="Times New Roman" w:cs="Times New Roman"/>
          <w:b/>
          <w:bCs/>
          <w:sz w:val="24"/>
          <w:szCs w:val="24"/>
          <w:lang w:eastAsia="pt-BR"/>
        </w:rPr>
        <w:t xml:space="preserve"> Metodologia e limitações inerentes à auditoria</w:t>
      </w:r>
    </w:p>
    <w:p w14:paraId="3C675E72" w14:textId="77777777" w:rsidR="00F93121" w:rsidRDefault="00F93121" w:rsidP="00092589">
      <w:pPr>
        <w:ind w:right="119" w:firstLine="0"/>
        <w:jc w:val="both"/>
        <w:rPr>
          <w:rFonts w:ascii="Times New Roman" w:eastAsia="Times New Roman" w:hAnsi="Times New Roman" w:cs="Times New Roman"/>
          <w:b/>
          <w:bCs/>
          <w:sz w:val="24"/>
          <w:szCs w:val="24"/>
          <w:lang w:eastAsia="pt-BR"/>
        </w:rPr>
      </w:pPr>
    </w:p>
    <w:p w14:paraId="649F0D16" w14:textId="77777777" w:rsidR="00A61C3A" w:rsidRPr="00710F3D" w:rsidRDefault="00A61C3A" w:rsidP="00092589">
      <w:pPr>
        <w:ind w:right="120" w:firstLine="0"/>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b/>
          <w:bCs/>
          <w:sz w:val="24"/>
          <w:szCs w:val="24"/>
          <w:lang w:eastAsia="pt-BR"/>
        </w:rPr>
        <w:t>2.4.1</w:t>
      </w:r>
      <w:r w:rsidR="00C40E28">
        <w:rPr>
          <w:rFonts w:ascii="Times New Roman" w:eastAsia="Times New Roman" w:hAnsi="Times New Roman" w:cs="Times New Roman"/>
          <w:b/>
          <w:bCs/>
          <w:sz w:val="24"/>
          <w:szCs w:val="24"/>
          <w:lang w:eastAsia="pt-BR"/>
        </w:rPr>
        <w:t>.</w:t>
      </w:r>
      <w:r w:rsidRPr="00710F3D">
        <w:rPr>
          <w:rFonts w:ascii="Times New Roman" w:eastAsia="Times New Roman" w:hAnsi="Times New Roman" w:cs="Times New Roman"/>
          <w:b/>
          <w:bCs/>
          <w:sz w:val="24"/>
          <w:szCs w:val="24"/>
          <w:lang w:eastAsia="pt-BR"/>
        </w:rPr>
        <w:t xml:space="preserve"> Metodologia</w:t>
      </w:r>
    </w:p>
    <w:p w14:paraId="44C5DE62" w14:textId="77777777" w:rsidR="00A61C3A" w:rsidRPr="00710F3D" w:rsidRDefault="00A61C3A" w:rsidP="00747F11">
      <w:pPr>
        <w:spacing w:before="240"/>
        <w:ind w:right="120" w:firstLine="708"/>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color w:val="000000"/>
          <w:sz w:val="24"/>
          <w:szCs w:val="24"/>
          <w:lang w:eastAsia="pt-BR"/>
        </w:rPr>
        <w:t xml:space="preserve">A auditoria foi conduzida de acordo com as normas brasileiras e internacionais de auditoria aplicáveis ao setor público, consistentes nas Normas Brasileiras de Contabilidade Técnicas aplicadas à Auditoria – NBC TA, emitidas pelo Conselho Federal de Contabilidade – CFC, que são convergentes com as Normas Internacionais de Auditoria Independente - ISA, emitidas pela Federação Internacional de Contadores – IFAC, com as Normas Internacionais das Entidades Fiscalizadoras Superiores - ISSAI, emitidas pela Organização Internacional de Entidades Fiscalizadoras Superiores – INTOSAI, e com as Normas de Auditoria do Tribunal de Contas da União - NAT. </w:t>
      </w:r>
      <w:r w:rsidR="00BA7CF6">
        <w:rPr>
          <w:rFonts w:ascii="Times New Roman" w:eastAsia="Times New Roman" w:hAnsi="Times New Roman" w:cs="Times New Roman"/>
          <w:color w:val="000000"/>
          <w:sz w:val="24"/>
          <w:szCs w:val="24"/>
          <w:lang w:eastAsia="pt-BR"/>
        </w:rPr>
        <w:t xml:space="preserve">Vale </w:t>
      </w:r>
      <w:r w:rsidR="00EC4602">
        <w:rPr>
          <w:rFonts w:ascii="Times New Roman" w:eastAsia="Times New Roman" w:hAnsi="Times New Roman" w:cs="Times New Roman"/>
          <w:color w:val="000000"/>
          <w:sz w:val="24"/>
          <w:szCs w:val="24"/>
          <w:lang w:eastAsia="pt-BR"/>
        </w:rPr>
        <w:t>destacar</w:t>
      </w:r>
      <w:r w:rsidR="00BA7CF6">
        <w:rPr>
          <w:rFonts w:ascii="Times New Roman" w:eastAsia="Times New Roman" w:hAnsi="Times New Roman" w:cs="Times New Roman"/>
          <w:color w:val="000000"/>
          <w:sz w:val="24"/>
          <w:szCs w:val="24"/>
          <w:lang w:eastAsia="pt-BR"/>
        </w:rPr>
        <w:t xml:space="preserve"> que </w:t>
      </w:r>
      <w:r w:rsidR="0050077F">
        <w:rPr>
          <w:rFonts w:ascii="Times New Roman" w:eastAsia="Times New Roman" w:hAnsi="Times New Roman" w:cs="Times New Roman"/>
          <w:color w:val="000000"/>
          <w:sz w:val="24"/>
          <w:szCs w:val="24"/>
          <w:lang w:eastAsia="pt-BR"/>
        </w:rPr>
        <w:t>n</w:t>
      </w:r>
      <w:r w:rsidRPr="00710F3D">
        <w:rPr>
          <w:rFonts w:ascii="Times New Roman" w:eastAsia="Times New Roman" w:hAnsi="Times New Roman" w:cs="Times New Roman"/>
          <w:color w:val="000000"/>
          <w:sz w:val="24"/>
          <w:szCs w:val="24"/>
          <w:lang w:eastAsia="pt-BR"/>
        </w:rPr>
        <w:t>enhuma restrição foi imposta pelos gestores e executores para a realização dos exames.</w:t>
      </w:r>
    </w:p>
    <w:p w14:paraId="75F123D3" w14:textId="77777777" w:rsidR="00A61C3A" w:rsidRPr="00710F3D" w:rsidRDefault="00A61C3A" w:rsidP="00747F11">
      <w:pPr>
        <w:spacing w:before="240"/>
        <w:ind w:right="120" w:firstLine="708"/>
        <w:jc w:val="both"/>
        <w:rPr>
          <w:rFonts w:ascii="Times New Roman" w:eastAsia="Times New Roman" w:hAnsi="Times New Roman" w:cs="Times New Roman"/>
          <w:sz w:val="24"/>
          <w:szCs w:val="24"/>
          <w:lang w:eastAsia="pt-BR"/>
        </w:rPr>
      </w:pPr>
      <w:r w:rsidRPr="00710F3D">
        <w:rPr>
          <w:rFonts w:ascii="Times New Roman" w:eastAsia="Times New Roman" w:hAnsi="Times New Roman" w:cs="Times New Roman"/>
          <w:color w:val="000000"/>
          <w:sz w:val="24"/>
          <w:szCs w:val="24"/>
          <w:lang w:eastAsia="pt-BR"/>
        </w:rPr>
        <w:t xml:space="preserve">Tais normas requerem o cumprimento de exigências éticas, o exercício de julgamento e ceticismo profissionais, a aplicação do conceito de materialidade e a identificação e a avaliação </w:t>
      </w:r>
      <w:r w:rsidRPr="00710F3D">
        <w:rPr>
          <w:rFonts w:ascii="Times New Roman" w:eastAsia="Times New Roman" w:hAnsi="Times New Roman" w:cs="Times New Roman"/>
          <w:color w:val="000000"/>
          <w:sz w:val="24"/>
          <w:szCs w:val="24"/>
          <w:lang w:eastAsia="pt-BR"/>
        </w:rPr>
        <w:lastRenderedPageBreak/>
        <w:t>de riscos de distorção relevante nas demonstrações auditadas ou de desvio de conformidade relevante nas transações subjacentes, independentemente se causados por erro ou fraude, bem como a definição e a execução de procedimentos de auditoria que respondam a esses riscos, a fim de se obter segurança razoável, mediante evidência de auditoria suficiente e apropriada, para suportar as conclusões em que se fundamenta a opinião de auditoria.</w:t>
      </w:r>
    </w:p>
    <w:p w14:paraId="3EF847C5" w14:textId="37059CEB" w:rsidR="004C1065" w:rsidRPr="00506FA5" w:rsidRDefault="004C1065" w:rsidP="00506FA5">
      <w:pPr>
        <w:pStyle w:val="NormalWeb"/>
        <w:spacing w:before="240" w:beforeAutospacing="0" w:after="0" w:afterAutospacing="0"/>
        <w:ind w:right="119"/>
        <w:jc w:val="both"/>
        <w:rPr>
          <w:color w:val="000000"/>
        </w:rPr>
      </w:pPr>
      <w:bookmarkStart w:id="4" w:name="_Toc67063968"/>
      <w:r w:rsidRPr="00506FA5">
        <w:rPr>
          <w:color w:val="000000"/>
        </w:rPr>
        <w:t>Obteve-se o entendimento da entidade e do seu ambiente interno e externo (id. </w:t>
      </w:r>
      <w:r w:rsidR="00D26E7B" w:rsidRPr="00D26E7B">
        <w:rPr>
          <w:color w:val="000000"/>
        </w:rPr>
        <w:t>1337274</w:t>
      </w:r>
      <w:r w:rsidRPr="00506FA5">
        <w:rPr>
          <w:color w:val="000000"/>
        </w:rPr>
        <w:t>) e foram identificados os fatores de risco no nível das demonstrações financeiras (id. </w:t>
      </w:r>
      <w:r w:rsidR="00D26E7B" w:rsidRPr="00D26E7B">
        <w:rPr>
          <w:color w:val="000000"/>
        </w:rPr>
        <w:t>1337278</w:t>
      </w:r>
      <w:r w:rsidRPr="00506FA5">
        <w:rPr>
          <w:color w:val="000000"/>
        </w:rPr>
        <w:t>), a fim de planejar procedimentos de auditoria mais apropriados às circunstâncias, entre eles o nível (ou os níveis) a partir do qual as distorções nas afirmações ou as não conformidades do objeto de auditoria foram considerados relevantes (referenciais de materialidade). Os aspectos relevantes da materialidade encontram-se detalhados no Apêndice A - Detalhamento da Metodologia Empregada deste relatório e nas Planilhas (ids. </w:t>
      </w:r>
      <w:r w:rsidR="00C535F4" w:rsidRPr="00C535F4">
        <w:rPr>
          <w:color w:val="000000"/>
        </w:rPr>
        <w:t>1337275</w:t>
      </w:r>
      <w:r w:rsidRPr="00506FA5">
        <w:rPr>
          <w:color w:val="000000"/>
        </w:rPr>
        <w:t> e</w:t>
      </w:r>
      <w:r w:rsidR="00C535F4">
        <w:rPr>
          <w:color w:val="000000"/>
        </w:rPr>
        <w:t xml:space="preserve"> </w:t>
      </w:r>
      <w:r w:rsidR="00C535F4" w:rsidRPr="00C535F4">
        <w:rPr>
          <w:color w:val="000000"/>
        </w:rPr>
        <w:t>1337280</w:t>
      </w:r>
      <w:r w:rsidRPr="00506FA5">
        <w:rPr>
          <w:color w:val="000000"/>
        </w:rPr>
        <w:t>), referentes aos meses de julho e dezembro/202</w:t>
      </w:r>
      <w:r w:rsidR="006B6A6D">
        <w:rPr>
          <w:color w:val="000000"/>
        </w:rPr>
        <w:t>5</w:t>
      </w:r>
      <w:r w:rsidRPr="00506FA5">
        <w:rPr>
          <w:color w:val="000000"/>
        </w:rPr>
        <w:t>. Avaliamos também a adequação das políticas contábeis utilizadas e a razoabilidade das estimativas contábeis e respectivas divulgações feitas pela administração, bem como a apresentação, a estrutura e o conteúdo geral das demonstrações contábeis, incluindo se as transações e os eventos subjacentes estão apresentados de forma adequada.</w:t>
      </w:r>
    </w:p>
    <w:p w14:paraId="55E61C9E" w14:textId="074B07AD" w:rsidR="004C1065" w:rsidRPr="00506FA5" w:rsidRDefault="004C1065" w:rsidP="00506FA5">
      <w:pPr>
        <w:pStyle w:val="NormalWeb"/>
        <w:spacing w:before="240" w:beforeAutospacing="0" w:after="0" w:afterAutospacing="0"/>
        <w:ind w:right="119"/>
        <w:jc w:val="both"/>
        <w:rPr>
          <w:color w:val="000000"/>
        </w:rPr>
      </w:pPr>
      <w:r w:rsidRPr="00506FA5">
        <w:rPr>
          <w:color w:val="000000"/>
        </w:rPr>
        <w:t xml:space="preserve">A definição e a execução dos procedimentos de auditoria incluíram indagações por meio do aplicativo Teams e de solicitações de auditoria nos processos eletrônicos, exame documental, conferência de cálculos, conciliações, recálculo, reexecução de procedimentos, procedimentos analíticos (testes de detalhes/saldos contábeis, análises horizontal e vertical), e de amostragem </w:t>
      </w:r>
      <w:r w:rsidR="00BC47D7">
        <w:rPr>
          <w:color w:val="000000"/>
        </w:rPr>
        <w:t xml:space="preserve">estatística e </w:t>
      </w:r>
      <w:r w:rsidRPr="00506FA5">
        <w:rPr>
          <w:color w:val="000000"/>
        </w:rPr>
        <w:t>não estatística (julgamento profissional) para testes de conformidade. Os aspectos relevantes da metodologia aplicada na definição da Estratégia Global de Auditoria (id. </w:t>
      </w:r>
      <w:r w:rsidR="00BC47D7" w:rsidRPr="00BC47D7">
        <w:rPr>
          <w:color w:val="000000"/>
        </w:rPr>
        <w:t>1337276</w:t>
      </w:r>
      <w:r w:rsidRPr="00506FA5">
        <w:rPr>
          <w:color w:val="000000"/>
        </w:rPr>
        <w:t>) e no desenvolvimento e execução do Plano de Auditoria encontram-se detalhados no Apêndice A deste relatório.</w:t>
      </w:r>
    </w:p>
    <w:p w14:paraId="77E4C13F" w14:textId="111DFD30" w:rsidR="004C1065" w:rsidRPr="00506FA5" w:rsidRDefault="004C1065" w:rsidP="00506FA5">
      <w:pPr>
        <w:pStyle w:val="NormalWeb"/>
        <w:spacing w:before="240" w:beforeAutospacing="0" w:after="0" w:afterAutospacing="0"/>
        <w:ind w:right="119"/>
        <w:jc w:val="both"/>
        <w:rPr>
          <w:color w:val="000000"/>
        </w:rPr>
      </w:pPr>
      <w:r w:rsidRPr="00506FA5">
        <w:rPr>
          <w:color w:val="000000"/>
        </w:rPr>
        <w:t xml:space="preserve">Com o objetivo de requisitar documentos, informações ou manifestação necessários à execução de seus trabalhos, bem como de comunicar possíveis distorções, foram encaminhadas, às unidades auditadas do TRF6, as solicitações e </w:t>
      </w:r>
      <w:r w:rsidR="008A0AB2">
        <w:rPr>
          <w:color w:val="000000"/>
        </w:rPr>
        <w:t xml:space="preserve">as </w:t>
      </w:r>
      <w:r w:rsidRPr="00506FA5">
        <w:rPr>
          <w:color w:val="000000"/>
        </w:rPr>
        <w:t>notas de auditoria relacionadas no Quadro 2 abaixo e/ou no Relatório Preliminar de Comunicado de Distorções (id. </w:t>
      </w:r>
      <w:r w:rsidR="00BC47D7" w:rsidRPr="00BC47D7">
        <w:rPr>
          <w:color w:val="000000"/>
        </w:rPr>
        <w:t>1527726</w:t>
      </w:r>
      <w:r w:rsidRPr="00506FA5">
        <w:rPr>
          <w:color w:val="000000"/>
        </w:rPr>
        <w:t>), de forma a possibilitar, no que couber, o esclarecimento acerca dos fluxos de processos de trabalho avaliados e a realização de ajustes necessários para evitar que as demonstrações contábeis fossem encerradas com distorções, e a equipe de auditoria fosse obrigada a emitir uma opinião modificada. A administração confirmou o cumprimento de suas responsabilidades, conforme estabelecidas nos Termos do Trabalho, anexos ao Comunicado de Auditoria (id. </w:t>
      </w:r>
      <w:r w:rsidR="001371E1" w:rsidRPr="001371E1">
        <w:rPr>
          <w:color w:val="000000"/>
        </w:rPr>
        <w:t>1366046</w:t>
      </w:r>
      <w:r w:rsidRPr="00506FA5">
        <w:rPr>
          <w:color w:val="000000"/>
        </w:rPr>
        <w:t xml:space="preserve">), por meio de Representação Formal </w:t>
      </w:r>
      <w:r w:rsidRPr="009A536E">
        <w:rPr>
          <w:color w:val="000000"/>
        </w:rPr>
        <w:t>(id. </w:t>
      </w:r>
      <w:r w:rsidR="009A536E" w:rsidRPr="009A536E">
        <w:rPr>
          <w:color w:val="000000"/>
        </w:rPr>
        <w:t>1658708</w:t>
      </w:r>
      <w:r w:rsidRPr="009A536E">
        <w:rPr>
          <w:color w:val="000000"/>
        </w:rPr>
        <w:t>)</w:t>
      </w:r>
      <w:r w:rsidRPr="00506FA5">
        <w:rPr>
          <w:color w:val="000000"/>
        </w:rPr>
        <w:t>.</w:t>
      </w:r>
    </w:p>
    <w:p w14:paraId="1DD684A7" w14:textId="77777777" w:rsidR="001D77D4" w:rsidRDefault="001D77D4" w:rsidP="00747F11">
      <w:pPr>
        <w:ind w:right="119" w:firstLine="0"/>
        <w:jc w:val="center"/>
        <w:rPr>
          <w:rFonts w:ascii="Times New Roman" w:eastAsia="Times New Roman" w:hAnsi="Times New Roman" w:cs="Times New Roman"/>
          <w:b/>
          <w:bCs/>
          <w:color w:val="000000"/>
          <w:lang w:eastAsia="pt-BR"/>
        </w:rPr>
      </w:pPr>
    </w:p>
    <w:p w14:paraId="49ABAA66" w14:textId="33A3B63B" w:rsidR="00A61C3A" w:rsidRDefault="00A61C3A" w:rsidP="00747F11">
      <w:pPr>
        <w:ind w:right="119" w:firstLine="0"/>
        <w:jc w:val="center"/>
        <w:rPr>
          <w:rFonts w:ascii="Times New Roman" w:eastAsia="Times New Roman" w:hAnsi="Times New Roman" w:cs="Times New Roman"/>
          <w:b/>
          <w:bCs/>
          <w:color w:val="000000"/>
          <w:lang w:eastAsia="pt-BR"/>
        </w:rPr>
      </w:pPr>
      <w:r w:rsidRPr="004A65DB">
        <w:rPr>
          <w:rFonts w:ascii="Times New Roman" w:eastAsia="Times New Roman" w:hAnsi="Times New Roman" w:cs="Times New Roman"/>
          <w:b/>
          <w:bCs/>
          <w:color w:val="000000"/>
          <w:lang w:eastAsia="pt-BR"/>
        </w:rPr>
        <w:t>Quad</w:t>
      </w:r>
      <w:r w:rsidR="00397CF8" w:rsidRPr="004A65DB">
        <w:rPr>
          <w:rFonts w:ascii="Times New Roman" w:eastAsia="Times New Roman" w:hAnsi="Times New Roman" w:cs="Times New Roman"/>
          <w:b/>
          <w:bCs/>
          <w:color w:val="000000"/>
          <w:lang w:eastAsia="pt-BR"/>
        </w:rPr>
        <w:t>ro 2 – Relação das Solicitações e</w:t>
      </w:r>
      <w:r w:rsidRPr="004A65DB">
        <w:rPr>
          <w:rFonts w:ascii="Times New Roman" w:eastAsia="Times New Roman" w:hAnsi="Times New Roman" w:cs="Times New Roman"/>
          <w:b/>
          <w:bCs/>
          <w:color w:val="000000"/>
          <w:lang w:eastAsia="pt-BR"/>
        </w:rPr>
        <w:t xml:space="preserve"> </w:t>
      </w:r>
      <w:r w:rsidR="00397CF8" w:rsidRPr="004A65DB">
        <w:rPr>
          <w:rFonts w:ascii="Times New Roman" w:eastAsia="Times New Roman" w:hAnsi="Times New Roman" w:cs="Times New Roman"/>
          <w:b/>
          <w:bCs/>
          <w:color w:val="000000"/>
          <w:lang w:eastAsia="pt-BR"/>
        </w:rPr>
        <w:t>Notas</w:t>
      </w:r>
      <w:r w:rsidRPr="004A65DB">
        <w:rPr>
          <w:rFonts w:ascii="Times New Roman" w:eastAsia="Times New Roman" w:hAnsi="Times New Roman" w:cs="Times New Roman"/>
          <w:b/>
          <w:bCs/>
          <w:color w:val="000000"/>
          <w:lang w:eastAsia="pt-BR"/>
        </w:rPr>
        <w:t xml:space="preserve"> de Auditoria</w:t>
      </w:r>
      <w:bookmarkEnd w:id="4"/>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4A0" w:firstRow="1" w:lastRow="0" w:firstColumn="1" w:lastColumn="0" w:noHBand="0" w:noVBand="1"/>
      </w:tblPr>
      <w:tblGrid>
        <w:gridCol w:w="1254"/>
        <w:gridCol w:w="4780"/>
        <w:gridCol w:w="1235"/>
        <w:gridCol w:w="1373"/>
      </w:tblGrid>
      <w:tr w:rsidR="006D71E1" w:rsidRPr="00707228" w14:paraId="6BE95E15" w14:textId="77777777" w:rsidTr="00D92613">
        <w:trPr>
          <w:jc w:val="center"/>
        </w:trPr>
        <w:tc>
          <w:tcPr>
            <w:tcW w:w="8642" w:type="dxa"/>
            <w:gridSpan w:val="4"/>
            <w:shd w:val="clear" w:color="auto" w:fill="D9D9D9" w:themeFill="background1" w:themeFillShade="D9"/>
          </w:tcPr>
          <w:p w14:paraId="2328B661" w14:textId="77777777" w:rsidR="006D71E1" w:rsidRPr="004638AD" w:rsidRDefault="006D71E1" w:rsidP="00971A77">
            <w:pPr>
              <w:tabs>
                <w:tab w:val="left" w:pos="284"/>
              </w:tabs>
              <w:ind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SOLICITAÇÕES DE AUDITORIA</w:t>
            </w:r>
          </w:p>
        </w:tc>
      </w:tr>
      <w:tr w:rsidR="00971A77" w:rsidRPr="00707228" w14:paraId="6DF4B12D" w14:textId="77777777" w:rsidTr="004638AD">
        <w:trPr>
          <w:jc w:val="center"/>
        </w:trPr>
        <w:tc>
          <w:tcPr>
            <w:tcW w:w="1258" w:type="dxa"/>
            <w:shd w:val="clear" w:color="auto" w:fill="D9D9D9" w:themeFill="background1" w:themeFillShade="D9"/>
            <w:vAlign w:val="center"/>
            <w:hideMark/>
          </w:tcPr>
          <w:p w14:paraId="72CB4A54" w14:textId="2693E38B" w:rsidR="006D71E1" w:rsidRPr="004638AD" w:rsidRDefault="006D71E1" w:rsidP="0070722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b/>
                <w:bCs/>
                <w:color w:val="000000"/>
                <w:sz w:val="20"/>
                <w:szCs w:val="20"/>
                <w:lang w:eastAsia="pt-BR"/>
              </w:rPr>
              <w:t>Doc</w:t>
            </w:r>
            <w:r w:rsidR="00D92613" w:rsidRPr="004638AD">
              <w:rPr>
                <w:rFonts w:ascii="Times New Roman" w:eastAsia="Times New Roman" w:hAnsi="Times New Roman" w:cs="Times New Roman"/>
                <w:b/>
                <w:bCs/>
                <w:color w:val="000000"/>
                <w:sz w:val="20"/>
                <w:szCs w:val="20"/>
                <w:lang w:eastAsia="pt-BR"/>
              </w:rPr>
              <w:t>.</w:t>
            </w:r>
            <w:r w:rsidRPr="004638AD">
              <w:rPr>
                <w:rFonts w:ascii="Times New Roman" w:eastAsia="Times New Roman" w:hAnsi="Times New Roman" w:cs="Times New Roman"/>
                <w:b/>
                <w:bCs/>
                <w:color w:val="000000"/>
                <w:sz w:val="20"/>
                <w:szCs w:val="20"/>
                <w:lang w:eastAsia="pt-BR"/>
              </w:rPr>
              <w:t xml:space="preserve"> - SEI</w:t>
            </w:r>
          </w:p>
        </w:tc>
        <w:tc>
          <w:tcPr>
            <w:tcW w:w="4850" w:type="dxa"/>
            <w:shd w:val="clear" w:color="auto" w:fill="D9D9D9" w:themeFill="background1" w:themeFillShade="D9"/>
            <w:vAlign w:val="center"/>
            <w:hideMark/>
          </w:tcPr>
          <w:p w14:paraId="7BEF7EB5" w14:textId="77777777" w:rsidR="006D71E1" w:rsidRPr="004638AD" w:rsidRDefault="006D71E1" w:rsidP="00707228">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b/>
                <w:bCs/>
                <w:color w:val="000000"/>
                <w:sz w:val="20"/>
                <w:szCs w:val="20"/>
                <w:lang w:eastAsia="pt-BR"/>
              </w:rPr>
              <w:t>Assunto</w:t>
            </w:r>
          </w:p>
        </w:tc>
        <w:tc>
          <w:tcPr>
            <w:tcW w:w="1238" w:type="dxa"/>
            <w:shd w:val="clear" w:color="auto" w:fill="D9D9D9" w:themeFill="background1" w:themeFillShade="D9"/>
          </w:tcPr>
          <w:p w14:paraId="2DDCF23F" w14:textId="77777777" w:rsidR="006D71E1" w:rsidRPr="004638AD" w:rsidRDefault="006D71E1" w:rsidP="00707228">
            <w:pPr>
              <w:tabs>
                <w:tab w:val="left" w:pos="284"/>
              </w:tabs>
              <w:ind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Ciclo</w:t>
            </w:r>
          </w:p>
        </w:tc>
        <w:tc>
          <w:tcPr>
            <w:tcW w:w="1296" w:type="dxa"/>
            <w:shd w:val="clear" w:color="auto" w:fill="D9D9D9" w:themeFill="background1" w:themeFillShade="D9"/>
            <w:vAlign w:val="center"/>
            <w:hideMark/>
          </w:tcPr>
          <w:p w14:paraId="1046248B" w14:textId="77777777" w:rsidR="006D71E1" w:rsidRPr="004638AD" w:rsidRDefault="006D71E1" w:rsidP="00707228">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b/>
                <w:bCs/>
                <w:color w:val="000000"/>
                <w:sz w:val="20"/>
                <w:szCs w:val="20"/>
                <w:lang w:eastAsia="pt-BR"/>
              </w:rPr>
              <w:t>Situação</w:t>
            </w:r>
          </w:p>
        </w:tc>
      </w:tr>
      <w:tr w:rsidR="00EF0C56" w:rsidRPr="00707228" w14:paraId="5E1EF919" w14:textId="77777777" w:rsidTr="004638AD">
        <w:trPr>
          <w:jc w:val="center"/>
        </w:trPr>
        <w:tc>
          <w:tcPr>
            <w:tcW w:w="1258" w:type="dxa"/>
            <w:vAlign w:val="center"/>
          </w:tcPr>
          <w:p w14:paraId="4B032B0D" w14:textId="419BB681" w:rsidR="00EF0C56" w:rsidRPr="004638AD" w:rsidRDefault="00EF0C56" w:rsidP="00707228">
            <w:pPr>
              <w:tabs>
                <w:tab w:val="left" w:pos="284"/>
              </w:tabs>
              <w:ind w:left="60"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color w:val="000000"/>
                <w:sz w:val="20"/>
                <w:szCs w:val="20"/>
                <w:lang w:eastAsia="pt-BR"/>
              </w:rPr>
              <w:t>Id. 1394348</w:t>
            </w:r>
          </w:p>
        </w:tc>
        <w:tc>
          <w:tcPr>
            <w:tcW w:w="4850" w:type="dxa"/>
            <w:vAlign w:val="center"/>
          </w:tcPr>
          <w:p w14:paraId="53976112" w14:textId="3328ECD0" w:rsidR="00EF0C56" w:rsidRPr="004638AD" w:rsidRDefault="00EF0C56" w:rsidP="00EF0C56">
            <w:pPr>
              <w:tabs>
                <w:tab w:val="left" w:pos="284"/>
              </w:tabs>
              <w:ind w:right="60" w:firstLine="0"/>
              <w:jc w:val="both"/>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color w:val="000000"/>
                <w:sz w:val="20"/>
                <w:szCs w:val="20"/>
                <w:lang w:eastAsia="pt-BR"/>
              </w:rPr>
              <w:t>Solicitação de Auditoria à DIPAG/SUCPA/SECGP</w:t>
            </w:r>
            <w:r w:rsidRPr="004638AD">
              <w:rPr>
                <w:rFonts w:ascii="Times New Roman" w:hAnsi="Times New Roman" w:cs="Times New Roman"/>
                <w:color w:val="000000"/>
                <w:sz w:val="20"/>
                <w:szCs w:val="20"/>
              </w:rPr>
              <w:t xml:space="preserve"> para avaliação dos controles internos administrativos referentes ao Ciclo de Pagamento de Pessoal.</w:t>
            </w:r>
          </w:p>
        </w:tc>
        <w:tc>
          <w:tcPr>
            <w:tcW w:w="1238" w:type="dxa"/>
            <w:vAlign w:val="center"/>
          </w:tcPr>
          <w:p w14:paraId="7173D716" w14:textId="7A7C8ADC" w:rsidR="00EF0C56" w:rsidRPr="004638AD" w:rsidRDefault="00EF0C56" w:rsidP="00EF0C56">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Pessoal</w:t>
            </w:r>
          </w:p>
        </w:tc>
        <w:tc>
          <w:tcPr>
            <w:tcW w:w="1296" w:type="dxa"/>
            <w:vAlign w:val="center"/>
          </w:tcPr>
          <w:p w14:paraId="040F683F" w14:textId="0D4DDD93" w:rsidR="00EF0C56" w:rsidRPr="004638AD" w:rsidRDefault="00EF0C56" w:rsidP="00707228">
            <w:pPr>
              <w:tabs>
                <w:tab w:val="left" w:pos="284"/>
              </w:tabs>
              <w:ind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color w:val="000000"/>
                <w:sz w:val="20"/>
                <w:szCs w:val="20"/>
                <w:lang w:eastAsia="pt-BR"/>
              </w:rPr>
              <w:t>Atendida</w:t>
            </w:r>
          </w:p>
        </w:tc>
      </w:tr>
      <w:tr w:rsidR="00971A77" w:rsidRPr="00707228" w14:paraId="13F17D54" w14:textId="77777777" w:rsidTr="004638AD">
        <w:trPr>
          <w:jc w:val="center"/>
        </w:trPr>
        <w:tc>
          <w:tcPr>
            <w:tcW w:w="1258" w:type="dxa"/>
            <w:vAlign w:val="center"/>
            <w:hideMark/>
          </w:tcPr>
          <w:p w14:paraId="5F3DEC87" w14:textId="250376F3"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Id. 1433314</w:t>
            </w:r>
          </w:p>
        </w:tc>
        <w:tc>
          <w:tcPr>
            <w:tcW w:w="4850" w:type="dxa"/>
            <w:vAlign w:val="center"/>
            <w:hideMark/>
          </w:tcPr>
          <w:p w14:paraId="65A7E782" w14:textId="77777777" w:rsidR="006D71E1" w:rsidRPr="004638AD" w:rsidRDefault="006D71E1" w:rsidP="005D54A2">
            <w:pPr>
              <w:tabs>
                <w:tab w:val="left" w:pos="284"/>
              </w:tabs>
              <w:ind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Solicitação de Auditoria à Subsecretaria de Precatórios e RPVs – SUPRE/SECJU para envio dos processos administrativos relativos aos pagamentos de precatórios e RPVs pagos em 2025.</w:t>
            </w:r>
          </w:p>
        </w:tc>
        <w:tc>
          <w:tcPr>
            <w:tcW w:w="1238" w:type="dxa"/>
            <w:vAlign w:val="center"/>
          </w:tcPr>
          <w:p w14:paraId="756958B7" w14:textId="77777777" w:rsidR="006D71E1" w:rsidRPr="004638AD" w:rsidRDefault="006D71E1" w:rsidP="005D54A2">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Precatórios e RPVs</w:t>
            </w:r>
          </w:p>
        </w:tc>
        <w:tc>
          <w:tcPr>
            <w:tcW w:w="1296" w:type="dxa"/>
            <w:vAlign w:val="center"/>
            <w:hideMark/>
          </w:tcPr>
          <w:p w14:paraId="657D534C" w14:textId="77777777" w:rsidR="006D71E1" w:rsidRPr="004638AD" w:rsidRDefault="006D71E1" w:rsidP="00B93E38">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Atendida</w:t>
            </w:r>
          </w:p>
        </w:tc>
      </w:tr>
      <w:tr w:rsidR="00971A77" w:rsidRPr="00707228" w14:paraId="77632C68" w14:textId="77777777" w:rsidTr="004638AD">
        <w:trPr>
          <w:jc w:val="center"/>
        </w:trPr>
        <w:tc>
          <w:tcPr>
            <w:tcW w:w="1258" w:type="dxa"/>
            <w:vAlign w:val="center"/>
            <w:hideMark/>
          </w:tcPr>
          <w:p w14:paraId="3261B684" w14:textId="10F72172"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Id. 1474230</w:t>
            </w:r>
          </w:p>
        </w:tc>
        <w:tc>
          <w:tcPr>
            <w:tcW w:w="4850" w:type="dxa"/>
            <w:vAlign w:val="center"/>
            <w:hideMark/>
          </w:tcPr>
          <w:p w14:paraId="69A3A5DD" w14:textId="77777777"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Solicitação de auditoria à Seção de Material e Patrimônio – SEMAP/SUMES/SECAM para esclarecimentos sobre o processo de aquisição e instalação de móveis planejados nas dependências do Plenário do TRF6.</w:t>
            </w:r>
          </w:p>
        </w:tc>
        <w:tc>
          <w:tcPr>
            <w:tcW w:w="1238" w:type="dxa"/>
            <w:vAlign w:val="center"/>
          </w:tcPr>
          <w:p w14:paraId="461F0D2A"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hideMark/>
          </w:tcPr>
          <w:p w14:paraId="3048E418" w14:textId="77777777" w:rsidR="006D71E1" w:rsidRPr="004638AD" w:rsidRDefault="006D71E1" w:rsidP="00B93E38">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Atendida</w:t>
            </w:r>
          </w:p>
        </w:tc>
      </w:tr>
      <w:tr w:rsidR="00F21B58" w:rsidRPr="00707228" w14:paraId="68070E0F" w14:textId="77777777" w:rsidTr="004638AD">
        <w:trPr>
          <w:jc w:val="center"/>
        </w:trPr>
        <w:tc>
          <w:tcPr>
            <w:tcW w:w="1258" w:type="dxa"/>
            <w:vAlign w:val="center"/>
          </w:tcPr>
          <w:p w14:paraId="4D077F74" w14:textId="5C93BECA" w:rsidR="00F21B58" w:rsidRPr="004638AD" w:rsidRDefault="00F21B58"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Id. 1542932</w:t>
            </w:r>
          </w:p>
        </w:tc>
        <w:tc>
          <w:tcPr>
            <w:tcW w:w="4850" w:type="dxa"/>
            <w:vAlign w:val="center"/>
          </w:tcPr>
          <w:p w14:paraId="33B152FE" w14:textId="0882BA4F" w:rsidR="00F21B58" w:rsidRPr="004638AD" w:rsidRDefault="00FC07AF"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Solicitação de Auditoria à DIPAG/SUCPA/SECGP</w:t>
            </w:r>
            <w:r w:rsidRPr="004638AD">
              <w:rPr>
                <w:rFonts w:ascii="Times New Roman" w:hAnsi="Times New Roman" w:cs="Times New Roman"/>
                <w:color w:val="000000"/>
                <w:sz w:val="20"/>
                <w:szCs w:val="20"/>
              </w:rPr>
              <w:t xml:space="preserve"> envio dos processos administrativos relativos ao </w:t>
            </w:r>
            <w:r w:rsidRPr="004638AD">
              <w:rPr>
                <w:rFonts w:ascii="Times New Roman" w:hAnsi="Times New Roman" w:cs="Times New Roman"/>
                <w:color w:val="000000"/>
                <w:sz w:val="20"/>
                <w:szCs w:val="20"/>
              </w:rPr>
              <w:lastRenderedPageBreak/>
              <w:t xml:space="preserve">pagamento de licença compensatória e de </w:t>
            </w:r>
            <w:r w:rsidR="00F858C7" w:rsidRPr="004638AD">
              <w:rPr>
                <w:rFonts w:ascii="Times New Roman" w:hAnsi="Times New Roman" w:cs="Times New Roman"/>
                <w:color w:val="000000"/>
                <w:sz w:val="20"/>
                <w:szCs w:val="20"/>
              </w:rPr>
              <w:t>G</w:t>
            </w:r>
            <w:r w:rsidRPr="004638AD">
              <w:rPr>
                <w:rFonts w:ascii="Times New Roman" w:hAnsi="Times New Roman" w:cs="Times New Roman"/>
                <w:color w:val="000000"/>
                <w:sz w:val="20"/>
                <w:szCs w:val="20"/>
              </w:rPr>
              <w:t xml:space="preserve">ratificação por </w:t>
            </w:r>
            <w:r w:rsidR="00F858C7" w:rsidRPr="004638AD">
              <w:rPr>
                <w:rFonts w:ascii="Times New Roman" w:hAnsi="Times New Roman" w:cs="Times New Roman"/>
                <w:color w:val="000000"/>
                <w:sz w:val="20"/>
                <w:szCs w:val="20"/>
              </w:rPr>
              <w:t>A</w:t>
            </w:r>
            <w:r w:rsidRPr="004638AD">
              <w:rPr>
                <w:rFonts w:ascii="Times New Roman" w:hAnsi="Times New Roman" w:cs="Times New Roman"/>
                <w:color w:val="000000"/>
                <w:sz w:val="20"/>
                <w:szCs w:val="20"/>
              </w:rPr>
              <w:t xml:space="preserve">cúmulo de </w:t>
            </w:r>
            <w:r w:rsidR="00F858C7" w:rsidRPr="004638AD">
              <w:rPr>
                <w:rFonts w:ascii="Times New Roman" w:hAnsi="Times New Roman" w:cs="Times New Roman"/>
                <w:color w:val="000000"/>
                <w:sz w:val="20"/>
                <w:szCs w:val="20"/>
              </w:rPr>
              <w:t>J</w:t>
            </w:r>
            <w:r w:rsidRPr="004638AD">
              <w:rPr>
                <w:rFonts w:ascii="Times New Roman" w:hAnsi="Times New Roman" w:cs="Times New Roman"/>
                <w:color w:val="000000"/>
                <w:sz w:val="20"/>
                <w:szCs w:val="20"/>
              </w:rPr>
              <w:t>urisdição</w:t>
            </w:r>
            <w:r w:rsidR="00F858C7" w:rsidRPr="004638AD">
              <w:rPr>
                <w:rFonts w:ascii="Times New Roman" w:hAnsi="Times New Roman" w:cs="Times New Roman"/>
                <w:color w:val="000000"/>
                <w:sz w:val="20"/>
                <w:szCs w:val="20"/>
              </w:rPr>
              <w:t xml:space="preserve"> - GAJU</w:t>
            </w:r>
            <w:r w:rsidRPr="004638AD">
              <w:rPr>
                <w:rFonts w:ascii="Times New Roman" w:hAnsi="Times New Roman" w:cs="Times New Roman"/>
                <w:color w:val="000000"/>
                <w:sz w:val="20"/>
                <w:szCs w:val="20"/>
              </w:rPr>
              <w:t xml:space="preserve"> aos magistrados(as) de primeiro e segundo graus do TRF6.</w:t>
            </w:r>
          </w:p>
        </w:tc>
        <w:tc>
          <w:tcPr>
            <w:tcW w:w="1238" w:type="dxa"/>
            <w:vAlign w:val="center"/>
          </w:tcPr>
          <w:p w14:paraId="34C9A98C" w14:textId="4C895A29" w:rsidR="00F21B58" w:rsidRPr="004638AD" w:rsidRDefault="00FC07AF"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lastRenderedPageBreak/>
              <w:t>Pessoal</w:t>
            </w:r>
          </w:p>
        </w:tc>
        <w:tc>
          <w:tcPr>
            <w:tcW w:w="1296" w:type="dxa"/>
            <w:vAlign w:val="center"/>
          </w:tcPr>
          <w:p w14:paraId="377A4071" w14:textId="32213792" w:rsidR="00F21B58" w:rsidRPr="004638AD" w:rsidRDefault="00FC07AF" w:rsidP="00B93E38">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Atendida</w:t>
            </w:r>
          </w:p>
        </w:tc>
      </w:tr>
      <w:tr w:rsidR="00595AF5" w:rsidRPr="00707228" w14:paraId="08EE5DA3" w14:textId="77777777" w:rsidTr="004638AD">
        <w:trPr>
          <w:jc w:val="center"/>
        </w:trPr>
        <w:tc>
          <w:tcPr>
            <w:tcW w:w="1258" w:type="dxa"/>
            <w:vAlign w:val="center"/>
          </w:tcPr>
          <w:p w14:paraId="68F72E2D" w14:textId="39ED47A6" w:rsidR="00595AF5" w:rsidRPr="004638AD" w:rsidRDefault="00595AF5"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Id. 1595454</w:t>
            </w:r>
          </w:p>
        </w:tc>
        <w:tc>
          <w:tcPr>
            <w:tcW w:w="4850" w:type="dxa"/>
            <w:vAlign w:val="center"/>
          </w:tcPr>
          <w:p w14:paraId="6DB369FC" w14:textId="27CA18A6" w:rsidR="00595AF5" w:rsidRPr="004638AD" w:rsidRDefault="00595AF5"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Solicitação de Auditoria à SECOB/SUCEF/SECOF</w:t>
            </w:r>
            <w:r w:rsidR="003F39F7" w:rsidRPr="004638AD">
              <w:rPr>
                <w:rFonts w:ascii="Times New Roman" w:eastAsia="Times New Roman" w:hAnsi="Times New Roman" w:cs="Times New Roman"/>
                <w:color w:val="000000"/>
                <w:sz w:val="20"/>
                <w:szCs w:val="20"/>
                <w:lang w:eastAsia="pt-BR"/>
              </w:rPr>
              <w:t xml:space="preserve"> </w:t>
            </w:r>
            <w:r w:rsidR="003F39F7" w:rsidRPr="004638AD">
              <w:rPr>
                <w:rFonts w:ascii="Times New Roman" w:hAnsi="Times New Roman" w:cs="Times New Roman"/>
                <w:color w:val="000000"/>
                <w:sz w:val="20"/>
                <w:szCs w:val="20"/>
              </w:rPr>
              <w:t>para obtenção da minuta das Notas Explicativas e da Declaração do Contador, exercício 2025.</w:t>
            </w:r>
          </w:p>
        </w:tc>
        <w:tc>
          <w:tcPr>
            <w:tcW w:w="1238" w:type="dxa"/>
            <w:vAlign w:val="center"/>
          </w:tcPr>
          <w:p w14:paraId="16F5C922" w14:textId="3B2603E8" w:rsidR="00595AF5" w:rsidRPr="004638AD" w:rsidRDefault="003F39F7"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N/A</w:t>
            </w:r>
          </w:p>
        </w:tc>
        <w:tc>
          <w:tcPr>
            <w:tcW w:w="1296" w:type="dxa"/>
            <w:vAlign w:val="center"/>
          </w:tcPr>
          <w:p w14:paraId="6E31D612" w14:textId="5E22B510" w:rsidR="00595AF5" w:rsidRPr="004638AD" w:rsidRDefault="003F39F7" w:rsidP="00B93E38">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Atendida</w:t>
            </w:r>
          </w:p>
        </w:tc>
      </w:tr>
      <w:tr w:rsidR="00F858C7" w:rsidRPr="00707228" w14:paraId="2F9C13EF" w14:textId="77777777" w:rsidTr="004638AD">
        <w:trPr>
          <w:jc w:val="center"/>
        </w:trPr>
        <w:tc>
          <w:tcPr>
            <w:tcW w:w="1258" w:type="dxa"/>
            <w:vAlign w:val="center"/>
          </w:tcPr>
          <w:p w14:paraId="07EB8F83" w14:textId="01C1C05E" w:rsidR="00F858C7" w:rsidRPr="004638AD" w:rsidRDefault="00F858C7"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Id. 1615235</w:t>
            </w:r>
          </w:p>
        </w:tc>
        <w:tc>
          <w:tcPr>
            <w:tcW w:w="4850" w:type="dxa"/>
            <w:vAlign w:val="center"/>
          </w:tcPr>
          <w:p w14:paraId="72ED50FB" w14:textId="0D138260" w:rsidR="00F858C7" w:rsidRPr="004638AD" w:rsidRDefault="00F858C7"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Solicitação de Auditoria à ASMAG para envio das planilhas encaminhadas à DIPAG com os dados para pagamento da Gratificação por Acúmulo de Jurisdição – GAJU e da licença compensatória.</w:t>
            </w:r>
          </w:p>
        </w:tc>
        <w:tc>
          <w:tcPr>
            <w:tcW w:w="1238" w:type="dxa"/>
            <w:vAlign w:val="center"/>
          </w:tcPr>
          <w:p w14:paraId="15489676" w14:textId="09ACB6B1" w:rsidR="00F858C7" w:rsidRPr="004638AD" w:rsidRDefault="00F858C7"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Pessoal</w:t>
            </w:r>
          </w:p>
        </w:tc>
        <w:tc>
          <w:tcPr>
            <w:tcW w:w="1296" w:type="dxa"/>
            <w:vAlign w:val="center"/>
          </w:tcPr>
          <w:p w14:paraId="1CC0E84A" w14:textId="7F23AB6F" w:rsidR="00F858C7" w:rsidRPr="004638AD" w:rsidRDefault="00F858C7" w:rsidP="00B93E38">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Atendida</w:t>
            </w:r>
          </w:p>
        </w:tc>
      </w:tr>
      <w:tr w:rsidR="00782DDB" w:rsidRPr="00707228" w14:paraId="13C9C52B" w14:textId="77777777" w:rsidTr="004638AD">
        <w:trPr>
          <w:jc w:val="center"/>
        </w:trPr>
        <w:tc>
          <w:tcPr>
            <w:tcW w:w="1258" w:type="dxa"/>
            <w:vAlign w:val="center"/>
          </w:tcPr>
          <w:p w14:paraId="49A8E3E1" w14:textId="34C6CA38" w:rsidR="00782DDB" w:rsidRPr="004638AD" w:rsidRDefault="00782DDB" w:rsidP="005D54A2">
            <w:pPr>
              <w:tabs>
                <w:tab w:val="left" w:pos="284"/>
              </w:tabs>
              <w:ind w:right="60"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Id. 1653988</w:t>
            </w:r>
          </w:p>
        </w:tc>
        <w:tc>
          <w:tcPr>
            <w:tcW w:w="4850" w:type="dxa"/>
            <w:vAlign w:val="center"/>
          </w:tcPr>
          <w:p w14:paraId="6F3B0E0B" w14:textId="7961046A" w:rsidR="00782DDB" w:rsidRPr="004638AD" w:rsidRDefault="00782DDB"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782DDB">
              <w:rPr>
                <w:rFonts w:ascii="Times New Roman" w:eastAsia="Times New Roman" w:hAnsi="Times New Roman" w:cs="Times New Roman"/>
                <w:color w:val="000000"/>
                <w:sz w:val="20"/>
                <w:szCs w:val="20"/>
                <w:lang w:eastAsia="pt-BR"/>
              </w:rPr>
              <w:t>Solicitação de Auditoria à SECAM para levantamento de informações relativas às recomendações expedidas em auditoria anteriores</w:t>
            </w:r>
            <w:r>
              <w:rPr>
                <w:rFonts w:ascii="Times New Roman" w:eastAsia="Times New Roman" w:hAnsi="Times New Roman" w:cs="Times New Roman"/>
                <w:color w:val="000000"/>
                <w:sz w:val="20"/>
                <w:szCs w:val="20"/>
                <w:lang w:eastAsia="pt-BR"/>
              </w:rPr>
              <w:t>.</w:t>
            </w:r>
          </w:p>
        </w:tc>
        <w:tc>
          <w:tcPr>
            <w:tcW w:w="1238" w:type="dxa"/>
            <w:vAlign w:val="center"/>
          </w:tcPr>
          <w:p w14:paraId="4796BDFF" w14:textId="19881C3D" w:rsidR="00782DDB" w:rsidRPr="004638AD" w:rsidRDefault="00782DDB" w:rsidP="005D54A2">
            <w:pPr>
              <w:tabs>
                <w:tab w:val="left" w:pos="284"/>
              </w:tabs>
              <w:ind w:right="60"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Patrimônio</w:t>
            </w:r>
          </w:p>
        </w:tc>
        <w:tc>
          <w:tcPr>
            <w:tcW w:w="1296" w:type="dxa"/>
            <w:vAlign w:val="center"/>
          </w:tcPr>
          <w:p w14:paraId="7D03BF2B" w14:textId="3917C0BF" w:rsidR="00782DDB" w:rsidRPr="004638AD" w:rsidRDefault="004658C8" w:rsidP="00B93E38">
            <w:pPr>
              <w:tabs>
                <w:tab w:val="left" w:pos="284"/>
              </w:tabs>
              <w:ind w:right="60" w:firstLine="0"/>
              <w:jc w:val="center"/>
              <w:rPr>
                <w:rFonts w:ascii="Times New Roman" w:eastAsia="Times New Roman" w:hAnsi="Times New Roman" w:cs="Times New Roman"/>
                <w:color w:val="000000"/>
                <w:sz w:val="20"/>
                <w:szCs w:val="20"/>
                <w:lang w:eastAsia="pt-BR"/>
              </w:rPr>
            </w:pPr>
            <w:r w:rsidRPr="004658C8">
              <w:rPr>
                <w:rFonts w:ascii="Times New Roman" w:eastAsia="Times New Roman" w:hAnsi="Times New Roman" w:cs="Times New Roman"/>
                <w:sz w:val="20"/>
                <w:szCs w:val="20"/>
                <w:lang w:eastAsia="pt-BR"/>
              </w:rPr>
              <w:t>Atendida</w:t>
            </w:r>
          </w:p>
        </w:tc>
      </w:tr>
      <w:tr w:rsidR="006D71E1" w:rsidRPr="00707228" w14:paraId="6A685C9E" w14:textId="77777777" w:rsidTr="00D92613">
        <w:trPr>
          <w:jc w:val="center"/>
        </w:trPr>
        <w:tc>
          <w:tcPr>
            <w:tcW w:w="8642" w:type="dxa"/>
            <w:gridSpan w:val="4"/>
            <w:shd w:val="clear" w:color="auto" w:fill="D9D9D9" w:themeFill="background1" w:themeFillShade="D9"/>
            <w:vAlign w:val="center"/>
          </w:tcPr>
          <w:p w14:paraId="557AFDD3" w14:textId="77777777" w:rsidR="006D71E1" w:rsidRPr="004638AD" w:rsidRDefault="006D71E1" w:rsidP="00971A77">
            <w:pPr>
              <w:tabs>
                <w:tab w:val="left" w:pos="284"/>
              </w:tabs>
              <w:ind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NOTAS DE AUDITORIA</w:t>
            </w:r>
          </w:p>
        </w:tc>
      </w:tr>
      <w:tr w:rsidR="00971A77" w:rsidRPr="00707228" w14:paraId="2B51E55C" w14:textId="77777777" w:rsidTr="004638AD">
        <w:trPr>
          <w:jc w:val="center"/>
        </w:trPr>
        <w:tc>
          <w:tcPr>
            <w:tcW w:w="1258" w:type="dxa"/>
            <w:shd w:val="clear" w:color="auto" w:fill="D9D9D9" w:themeFill="background1" w:themeFillShade="D9"/>
            <w:vAlign w:val="center"/>
          </w:tcPr>
          <w:p w14:paraId="04A4A934" w14:textId="11296448" w:rsidR="00971A77" w:rsidRPr="004638AD" w:rsidRDefault="00D92613" w:rsidP="00971A77">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b/>
                <w:bCs/>
                <w:color w:val="000000"/>
                <w:sz w:val="20"/>
                <w:szCs w:val="20"/>
                <w:lang w:eastAsia="pt-BR"/>
              </w:rPr>
              <w:t>Doc. - SEI</w:t>
            </w:r>
          </w:p>
        </w:tc>
        <w:tc>
          <w:tcPr>
            <w:tcW w:w="4850" w:type="dxa"/>
            <w:shd w:val="clear" w:color="auto" w:fill="D9D9D9" w:themeFill="background1" w:themeFillShade="D9"/>
            <w:vAlign w:val="center"/>
          </w:tcPr>
          <w:p w14:paraId="3BFBE6AA" w14:textId="011CCC3C" w:rsidR="00971A77" w:rsidRPr="004638AD" w:rsidRDefault="00971A77" w:rsidP="00971A77">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b/>
                <w:bCs/>
                <w:color w:val="000000"/>
                <w:sz w:val="20"/>
                <w:szCs w:val="20"/>
                <w:lang w:eastAsia="pt-BR"/>
              </w:rPr>
              <w:t>Assunto</w:t>
            </w:r>
          </w:p>
        </w:tc>
        <w:tc>
          <w:tcPr>
            <w:tcW w:w="1238" w:type="dxa"/>
            <w:shd w:val="clear" w:color="auto" w:fill="D9D9D9" w:themeFill="background1" w:themeFillShade="D9"/>
            <w:vAlign w:val="center"/>
          </w:tcPr>
          <w:p w14:paraId="49CCD921" w14:textId="018F19F8" w:rsidR="00971A77" w:rsidRPr="004638AD" w:rsidRDefault="00971A77" w:rsidP="00971A77">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b/>
                <w:bCs/>
                <w:color w:val="000000"/>
                <w:sz w:val="20"/>
                <w:szCs w:val="20"/>
                <w:lang w:eastAsia="pt-BR"/>
              </w:rPr>
              <w:t>Ciclo</w:t>
            </w:r>
          </w:p>
        </w:tc>
        <w:tc>
          <w:tcPr>
            <w:tcW w:w="1296" w:type="dxa"/>
            <w:shd w:val="clear" w:color="auto" w:fill="D9D9D9" w:themeFill="background1" w:themeFillShade="D9"/>
            <w:vAlign w:val="center"/>
          </w:tcPr>
          <w:p w14:paraId="52B2AADE" w14:textId="619C01E9" w:rsidR="00971A77" w:rsidRPr="004638AD" w:rsidRDefault="00971A77" w:rsidP="00971A77">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b/>
                <w:bCs/>
                <w:color w:val="000000"/>
                <w:sz w:val="20"/>
                <w:szCs w:val="20"/>
                <w:lang w:eastAsia="pt-BR"/>
              </w:rPr>
              <w:t>Situação</w:t>
            </w:r>
          </w:p>
        </w:tc>
      </w:tr>
      <w:tr w:rsidR="00971A77" w:rsidRPr="00707228" w14:paraId="6743C1BB" w14:textId="77777777" w:rsidTr="004638AD">
        <w:trPr>
          <w:jc w:val="center"/>
        </w:trPr>
        <w:tc>
          <w:tcPr>
            <w:tcW w:w="1258" w:type="dxa"/>
            <w:vAlign w:val="center"/>
            <w:hideMark/>
          </w:tcPr>
          <w:p w14:paraId="40B618DA" w14:textId="61091A38" w:rsidR="006D71E1" w:rsidRPr="004638AD" w:rsidRDefault="006D71E1" w:rsidP="005D54A2">
            <w:pPr>
              <w:tabs>
                <w:tab w:val="left" w:pos="284"/>
              </w:tabs>
              <w:ind w:right="60" w:firstLine="0"/>
              <w:jc w:val="center"/>
              <w:rPr>
                <w:rFonts w:ascii="Times New Roman" w:eastAsia="Times New Roman" w:hAnsi="Times New Roman" w:cs="Times New Roman"/>
                <w:sz w:val="20"/>
                <w:szCs w:val="20"/>
                <w:lang w:eastAsia="pt-BR"/>
              </w:rPr>
            </w:pPr>
            <w:r w:rsidRPr="004638AD">
              <w:rPr>
                <w:rFonts w:ascii="Times New Roman" w:eastAsia="Times New Roman" w:hAnsi="Times New Roman" w:cs="Times New Roman"/>
                <w:sz w:val="20"/>
                <w:szCs w:val="20"/>
                <w:lang w:eastAsia="pt-BR"/>
              </w:rPr>
              <w:t>Id. 1414568</w:t>
            </w:r>
          </w:p>
        </w:tc>
        <w:tc>
          <w:tcPr>
            <w:tcW w:w="4850" w:type="dxa"/>
            <w:vAlign w:val="center"/>
            <w:hideMark/>
          </w:tcPr>
          <w:p w14:paraId="24E43BEA" w14:textId="77777777"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 xml:space="preserve">Nota de Auditoria à Seção de Material e Patrimônio – SEMAP/SUMES/SECAM para regularização de inconsistência no procedimento de incorporação extraorçamentária efetuada na UG 090013-SJMG, na conta contábil </w:t>
            </w:r>
            <w:r w:rsidRPr="004638AD">
              <w:rPr>
                <w:rFonts w:ascii="Times New Roman" w:hAnsi="Times New Roman" w:cs="Times New Roman"/>
                <w:color w:val="000000"/>
                <w:sz w:val="20"/>
                <w:szCs w:val="20"/>
              </w:rPr>
              <w:t>12311.05.03 - Veículos de Tração Mecânica</w:t>
            </w:r>
          </w:p>
        </w:tc>
        <w:tc>
          <w:tcPr>
            <w:tcW w:w="1238" w:type="dxa"/>
            <w:vAlign w:val="center"/>
          </w:tcPr>
          <w:p w14:paraId="62DB35E1"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hideMark/>
          </w:tcPr>
          <w:p w14:paraId="0EAEE995" w14:textId="3C412400" w:rsidR="006D71E1" w:rsidRPr="004638AD" w:rsidRDefault="006D71E1" w:rsidP="00B93E38">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Regularizada</w:t>
            </w:r>
          </w:p>
        </w:tc>
      </w:tr>
      <w:tr w:rsidR="00971A77" w:rsidRPr="00707228" w14:paraId="16C4481F" w14:textId="77777777" w:rsidTr="004638AD">
        <w:trPr>
          <w:jc w:val="center"/>
        </w:trPr>
        <w:tc>
          <w:tcPr>
            <w:tcW w:w="1258" w:type="dxa"/>
            <w:vAlign w:val="center"/>
            <w:hideMark/>
          </w:tcPr>
          <w:p w14:paraId="2D6C2383" w14:textId="77777777" w:rsidR="006D71E1" w:rsidRPr="004638AD" w:rsidRDefault="006D71E1" w:rsidP="005D54A2">
            <w:pPr>
              <w:tabs>
                <w:tab w:val="left" w:pos="284"/>
              </w:tabs>
              <w:ind w:left="60" w:right="60" w:firstLine="0"/>
              <w:jc w:val="center"/>
              <w:rPr>
                <w:rFonts w:ascii="Times New Roman" w:eastAsia="Times New Roman" w:hAnsi="Times New Roman" w:cs="Times New Roman"/>
                <w:sz w:val="20"/>
                <w:szCs w:val="20"/>
                <w:lang w:eastAsia="pt-BR"/>
              </w:rPr>
            </w:pPr>
            <w:r w:rsidRPr="004638AD">
              <w:rPr>
                <w:rFonts w:ascii="Times New Roman" w:eastAsia="Times New Roman" w:hAnsi="Times New Roman" w:cs="Times New Roman"/>
                <w:sz w:val="20"/>
                <w:szCs w:val="20"/>
                <w:lang w:eastAsia="pt-BR"/>
              </w:rPr>
              <w:t>Id.</w:t>
            </w:r>
            <w:r w:rsidRPr="004638AD">
              <w:rPr>
                <w:rFonts w:ascii="Times New Roman" w:hAnsi="Times New Roman" w:cs="Times New Roman"/>
                <w:sz w:val="20"/>
                <w:szCs w:val="20"/>
              </w:rPr>
              <w:t xml:space="preserve"> </w:t>
            </w:r>
            <w:r w:rsidRPr="004638AD">
              <w:rPr>
                <w:rFonts w:ascii="Times New Roman" w:eastAsia="Times New Roman" w:hAnsi="Times New Roman" w:cs="Times New Roman"/>
                <w:sz w:val="20"/>
                <w:szCs w:val="20"/>
                <w:lang w:eastAsia="pt-BR"/>
              </w:rPr>
              <w:t>1421106</w:t>
            </w:r>
          </w:p>
        </w:tc>
        <w:tc>
          <w:tcPr>
            <w:tcW w:w="4850" w:type="dxa"/>
            <w:vAlign w:val="center"/>
            <w:hideMark/>
          </w:tcPr>
          <w:p w14:paraId="289B26BE" w14:textId="77777777"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 xml:space="preserve">Nota de Auditoria à Seção de Material e Patrimônio – SEMAP/SUMES/SECAM para regularização de </w:t>
            </w:r>
            <w:r w:rsidRPr="004638AD">
              <w:rPr>
                <w:rFonts w:ascii="Times New Roman" w:hAnsi="Times New Roman" w:cs="Times New Roman"/>
                <w:color w:val="000000"/>
                <w:sz w:val="20"/>
                <w:szCs w:val="20"/>
              </w:rPr>
              <w:t>inconsistências no procedimento de incorporação extraorçamentária efetuada na UG 090013-SJMG, na conta 12311.02.01 - Bens de Informática.</w:t>
            </w:r>
          </w:p>
        </w:tc>
        <w:tc>
          <w:tcPr>
            <w:tcW w:w="1238" w:type="dxa"/>
            <w:vAlign w:val="center"/>
          </w:tcPr>
          <w:p w14:paraId="632A0BCE"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5F13D44C" w14:textId="27AE5FCA" w:rsidR="006D71E1" w:rsidRPr="004638AD" w:rsidRDefault="004C4920"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Regularizada</w:t>
            </w:r>
          </w:p>
        </w:tc>
      </w:tr>
      <w:tr w:rsidR="00971A77" w:rsidRPr="00707228" w14:paraId="6F465F76" w14:textId="77777777" w:rsidTr="004638AD">
        <w:trPr>
          <w:jc w:val="center"/>
        </w:trPr>
        <w:tc>
          <w:tcPr>
            <w:tcW w:w="1258" w:type="dxa"/>
            <w:vAlign w:val="center"/>
            <w:hideMark/>
          </w:tcPr>
          <w:p w14:paraId="030F7EF1" w14:textId="77777777" w:rsidR="006D71E1" w:rsidRPr="004638AD" w:rsidRDefault="006D71E1" w:rsidP="005D54A2">
            <w:pPr>
              <w:tabs>
                <w:tab w:val="left" w:pos="284"/>
              </w:tabs>
              <w:ind w:left="60" w:right="60" w:firstLine="0"/>
              <w:jc w:val="center"/>
              <w:rPr>
                <w:rFonts w:ascii="Times New Roman" w:eastAsia="Times New Roman" w:hAnsi="Times New Roman" w:cs="Times New Roman"/>
                <w:sz w:val="20"/>
                <w:szCs w:val="20"/>
                <w:lang w:eastAsia="pt-BR"/>
              </w:rPr>
            </w:pPr>
            <w:r w:rsidRPr="004638AD">
              <w:rPr>
                <w:rFonts w:ascii="Times New Roman" w:eastAsia="Times New Roman" w:hAnsi="Times New Roman" w:cs="Times New Roman"/>
                <w:sz w:val="20"/>
                <w:szCs w:val="20"/>
                <w:lang w:eastAsia="pt-BR"/>
              </w:rPr>
              <w:t>Id. 1442606</w:t>
            </w:r>
          </w:p>
        </w:tc>
        <w:tc>
          <w:tcPr>
            <w:tcW w:w="4850" w:type="dxa"/>
            <w:vAlign w:val="center"/>
            <w:hideMark/>
          </w:tcPr>
          <w:p w14:paraId="0485A771" w14:textId="7081149B"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Nota de Auditoria à Seção de Material e Patrimônio – SEMAP/SUMES/SECAM e à Seção de Execução Orçamentária – SEORC/SUPLO/SECOF</w:t>
            </w:r>
            <w:r w:rsidR="00B7185F">
              <w:rPr>
                <w:rFonts w:ascii="Times New Roman" w:eastAsia="Times New Roman" w:hAnsi="Times New Roman" w:cs="Times New Roman"/>
                <w:color w:val="000000"/>
                <w:sz w:val="20"/>
                <w:szCs w:val="20"/>
                <w:lang w:eastAsia="pt-BR"/>
              </w:rPr>
              <w:t xml:space="preserve"> </w:t>
            </w:r>
            <w:r w:rsidRPr="004638AD">
              <w:rPr>
                <w:rFonts w:ascii="Times New Roman" w:eastAsia="Times New Roman" w:hAnsi="Times New Roman" w:cs="Times New Roman"/>
                <w:color w:val="000000"/>
                <w:sz w:val="20"/>
                <w:szCs w:val="20"/>
                <w:lang w:eastAsia="pt-BR"/>
              </w:rPr>
              <w:t xml:space="preserve">para regularização de </w:t>
            </w:r>
            <w:r w:rsidRPr="004638AD">
              <w:rPr>
                <w:rFonts w:ascii="Times New Roman" w:hAnsi="Times New Roman" w:cs="Times New Roman"/>
                <w:color w:val="000000"/>
                <w:sz w:val="20"/>
                <w:szCs w:val="20"/>
              </w:rPr>
              <w:t>inconsistências no procedimento de aquisição de componentes para atualização de solução de rede, da SJMG e do TRF6, mediante adesão à Ata de Registro de Preços 17/2023 (id.</w:t>
            </w:r>
            <w:r w:rsidRPr="00B7185F">
              <w:rPr>
                <w:rFonts w:ascii="Times New Roman" w:hAnsi="Times New Roman" w:cs="Times New Roman"/>
                <w:sz w:val="20"/>
                <w:szCs w:val="20"/>
              </w:rPr>
              <w:t>0593289</w:t>
            </w:r>
            <w:r w:rsidRPr="004638AD">
              <w:rPr>
                <w:rFonts w:ascii="Times New Roman" w:hAnsi="Times New Roman" w:cs="Times New Roman"/>
                <w:color w:val="000000"/>
                <w:sz w:val="20"/>
                <w:szCs w:val="20"/>
              </w:rPr>
              <w:t>) do STJ.</w:t>
            </w:r>
          </w:p>
        </w:tc>
        <w:tc>
          <w:tcPr>
            <w:tcW w:w="1238" w:type="dxa"/>
            <w:vAlign w:val="center"/>
          </w:tcPr>
          <w:p w14:paraId="16753CE6"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2AADF96C" w14:textId="31608D2F" w:rsidR="006D71E1" w:rsidRPr="004638AD" w:rsidRDefault="004C4920" w:rsidP="004C4920">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Regularizada</w:t>
            </w:r>
          </w:p>
        </w:tc>
      </w:tr>
      <w:tr w:rsidR="00971A77" w:rsidRPr="00707228" w14:paraId="1403E4E5" w14:textId="77777777" w:rsidTr="004638AD">
        <w:trPr>
          <w:jc w:val="center"/>
        </w:trPr>
        <w:tc>
          <w:tcPr>
            <w:tcW w:w="1258" w:type="dxa"/>
            <w:vAlign w:val="center"/>
            <w:hideMark/>
          </w:tcPr>
          <w:p w14:paraId="79C93567" w14:textId="77777777" w:rsidR="006D71E1" w:rsidRPr="004638AD" w:rsidRDefault="006D71E1" w:rsidP="005D54A2">
            <w:pPr>
              <w:tabs>
                <w:tab w:val="left" w:pos="284"/>
              </w:tabs>
              <w:ind w:left="60" w:right="60" w:firstLine="0"/>
              <w:jc w:val="center"/>
              <w:rPr>
                <w:rFonts w:ascii="Times New Roman" w:eastAsia="Times New Roman" w:hAnsi="Times New Roman" w:cs="Times New Roman"/>
                <w:sz w:val="20"/>
                <w:szCs w:val="20"/>
                <w:lang w:eastAsia="pt-BR"/>
              </w:rPr>
            </w:pPr>
            <w:r w:rsidRPr="004638AD">
              <w:rPr>
                <w:rFonts w:ascii="Times New Roman" w:eastAsia="Times New Roman" w:hAnsi="Times New Roman" w:cs="Times New Roman"/>
                <w:sz w:val="20"/>
                <w:szCs w:val="20"/>
                <w:lang w:eastAsia="pt-BR"/>
              </w:rPr>
              <w:t>Id.</w:t>
            </w:r>
            <w:r w:rsidRPr="004638AD">
              <w:rPr>
                <w:rFonts w:ascii="Times New Roman" w:hAnsi="Times New Roman" w:cs="Times New Roman"/>
                <w:sz w:val="20"/>
                <w:szCs w:val="20"/>
              </w:rPr>
              <w:t xml:space="preserve"> </w:t>
            </w:r>
            <w:r w:rsidRPr="004638AD">
              <w:rPr>
                <w:rFonts w:ascii="Times New Roman" w:eastAsia="Times New Roman" w:hAnsi="Times New Roman" w:cs="Times New Roman"/>
                <w:sz w:val="20"/>
                <w:szCs w:val="20"/>
                <w:lang w:eastAsia="pt-BR"/>
              </w:rPr>
              <w:t>1446673</w:t>
            </w:r>
          </w:p>
        </w:tc>
        <w:tc>
          <w:tcPr>
            <w:tcW w:w="4850" w:type="dxa"/>
            <w:vAlign w:val="center"/>
            <w:hideMark/>
          </w:tcPr>
          <w:p w14:paraId="3712987F" w14:textId="7121F446"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Nota de Auditoria à Seção de Material e Patrimônio – SEMAP/SUMES/SECAM e à Seção de Execução Orçamentária – SEORC/SUPLO/</w:t>
            </w:r>
            <w:r w:rsidR="000C53DE" w:rsidRPr="004638AD">
              <w:rPr>
                <w:rFonts w:ascii="Times New Roman" w:eastAsia="Times New Roman" w:hAnsi="Times New Roman" w:cs="Times New Roman"/>
                <w:color w:val="000000"/>
                <w:sz w:val="20"/>
                <w:szCs w:val="20"/>
                <w:lang w:eastAsia="pt-BR"/>
              </w:rPr>
              <w:t>SECOF para</w:t>
            </w:r>
            <w:r w:rsidRPr="004638AD">
              <w:rPr>
                <w:rFonts w:ascii="Times New Roman" w:eastAsia="Times New Roman" w:hAnsi="Times New Roman" w:cs="Times New Roman"/>
                <w:color w:val="000000"/>
                <w:sz w:val="20"/>
                <w:szCs w:val="20"/>
                <w:lang w:eastAsia="pt-BR"/>
              </w:rPr>
              <w:t xml:space="preserve"> regularização de </w:t>
            </w:r>
            <w:r w:rsidRPr="004638AD">
              <w:rPr>
                <w:rFonts w:ascii="Times New Roman" w:hAnsi="Times New Roman" w:cs="Times New Roman"/>
                <w:color w:val="000000"/>
                <w:sz w:val="20"/>
                <w:szCs w:val="20"/>
              </w:rPr>
              <w:t xml:space="preserve">inconsistências no procedimento de aquisição de Solução de Segurança de </w:t>
            </w:r>
            <w:proofErr w:type="spellStart"/>
            <w:r w:rsidRPr="004638AD">
              <w:rPr>
                <w:rFonts w:ascii="Times New Roman" w:hAnsi="Times New Roman" w:cs="Times New Roman"/>
                <w:color w:val="000000"/>
                <w:sz w:val="20"/>
                <w:szCs w:val="20"/>
              </w:rPr>
              <w:t>Tic</w:t>
            </w:r>
            <w:proofErr w:type="spellEnd"/>
            <w:r w:rsidRPr="004638AD">
              <w:rPr>
                <w:rFonts w:ascii="Times New Roman" w:hAnsi="Times New Roman" w:cs="Times New Roman"/>
                <w:color w:val="000000"/>
                <w:sz w:val="20"/>
                <w:szCs w:val="20"/>
              </w:rPr>
              <w:t>, nos termos do Contrato 041/2025 (id. </w:t>
            </w:r>
            <w:r w:rsidRPr="00B7185F">
              <w:rPr>
                <w:rFonts w:ascii="Times New Roman" w:hAnsi="Times New Roman" w:cs="Times New Roman"/>
                <w:sz w:val="20"/>
                <w:szCs w:val="20"/>
              </w:rPr>
              <w:t>1225885</w:t>
            </w:r>
            <w:r w:rsidRPr="004638AD">
              <w:rPr>
                <w:rFonts w:ascii="Times New Roman" w:hAnsi="Times New Roman" w:cs="Times New Roman"/>
                <w:color w:val="000000"/>
                <w:sz w:val="20"/>
                <w:szCs w:val="20"/>
              </w:rPr>
              <w:t>) relativo ao processo </w:t>
            </w:r>
            <w:r w:rsidRPr="00B7185F">
              <w:rPr>
                <w:rFonts w:ascii="Times New Roman" w:hAnsi="Times New Roman" w:cs="Times New Roman"/>
                <w:sz w:val="20"/>
                <w:szCs w:val="20"/>
              </w:rPr>
              <w:t>0005353-97.2025.4.06.8000</w:t>
            </w:r>
            <w:r w:rsidRPr="004638AD">
              <w:rPr>
                <w:rFonts w:ascii="Times New Roman" w:hAnsi="Times New Roman" w:cs="Times New Roman"/>
                <w:color w:val="000000"/>
                <w:sz w:val="20"/>
                <w:szCs w:val="20"/>
              </w:rPr>
              <w:t>.</w:t>
            </w:r>
          </w:p>
        </w:tc>
        <w:tc>
          <w:tcPr>
            <w:tcW w:w="1238" w:type="dxa"/>
            <w:vAlign w:val="center"/>
          </w:tcPr>
          <w:p w14:paraId="5F70FF26"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0CF94BCB" w14:textId="1838BC10" w:rsidR="006D71E1" w:rsidRPr="004638AD" w:rsidRDefault="006D71E1"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Item 2 – Regularizad</w:t>
            </w:r>
            <w:r w:rsidR="0009269F">
              <w:rPr>
                <w:rFonts w:ascii="Times New Roman" w:eastAsia="Times New Roman" w:hAnsi="Times New Roman" w:cs="Times New Roman"/>
                <w:color w:val="000000"/>
                <w:sz w:val="20"/>
                <w:szCs w:val="20"/>
                <w:lang w:eastAsia="pt-BR"/>
              </w:rPr>
              <w:t>o</w:t>
            </w:r>
          </w:p>
          <w:p w14:paraId="52DD6F4E" w14:textId="334A6DD0" w:rsidR="006D71E1" w:rsidRPr="004638AD" w:rsidRDefault="006D71E1"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Item 3 – Justificado</w:t>
            </w:r>
          </w:p>
        </w:tc>
      </w:tr>
      <w:tr w:rsidR="00F843E9" w:rsidRPr="00707228" w14:paraId="160A5926" w14:textId="77777777" w:rsidTr="004638AD">
        <w:trPr>
          <w:jc w:val="center"/>
        </w:trPr>
        <w:tc>
          <w:tcPr>
            <w:tcW w:w="1258" w:type="dxa"/>
            <w:vAlign w:val="center"/>
          </w:tcPr>
          <w:p w14:paraId="4C4A9D19" w14:textId="6B08B756" w:rsidR="00F843E9" w:rsidRPr="004638AD" w:rsidRDefault="00F843E9" w:rsidP="005D54A2">
            <w:pPr>
              <w:tabs>
                <w:tab w:val="left" w:pos="284"/>
              </w:tabs>
              <w:ind w:left="60" w:right="60" w:firstLine="0"/>
              <w:jc w:val="center"/>
              <w:rPr>
                <w:rFonts w:ascii="Times New Roman" w:eastAsia="Times New Roman" w:hAnsi="Times New Roman" w:cs="Times New Roman"/>
                <w:sz w:val="20"/>
                <w:szCs w:val="20"/>
                <w:lang w:eastAsia="pt-BR"/>
              </w:rPr>
            </w:pPr>
            <w:r w:rsidRPr="004638AD">
              <w:rPr>
                <w:rFonts w:ascii="Times New Roman" w:eastAsia="Times New Roman" w:hAnsi="Times New Roman" w:cs="Times New Roman"/>
                <w:sz w:val="20"/>
                <w:szCs w:val="20"/>
                <w:lang w:eastAsia="pt-BR"/>
              </w:rPr>
              <w:t>Id. 1451201</w:t>
            </w:r>
          </w:p>
        </w:tc>
        <w:tc>
          <w:tcPr>
            <w:tcW w:w="4850" w:type="dxa"/>
            <w:vAlign w:val="center"/>
          </w:tcPr>
          <w:p w14:paraId="6579A4B2" w14:textId="06F9FA99" w:rsidR="00F843E9" w:rsidRPr="004638AD" w:rsidRDefault="00F843E9"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 xml:space="preserve">Nota de Auditoria ao Núcleo de Legislação de Pessoal – NULEP/SECGP e à </w:t>
            </w:r>
            <w:r w:rsidRPr="004638AD">
              <w:rPr>
                <w:rFonts w:ascii="Times New Roman" w:hAnsi="Times New Roman" w:cs="Times New Roman"/>
                <w:color w:val="000000"/>
                <w:sz w:val="20"/>
                <w:szCs w:val="20"/>
              </w:rPr>
              <w:t>Divisão de Pagamento de Pessoal – DIPAG/SECGP</w:t>
            </w:r>
            <w:r w:rsidRPr="004638AD">
              <w:rPr>
                <w:rFonts w:ascii="Times New Roman" w:eastAsia="Times New Roman" w:hAnsi="Times New Roman" w:cs="Times New Roman"/>
                <w:color w:val="000000"/>
                <w:sz w:val="20"/>
                <w:szCs w:val="20"/>
                <w:lang w:eastAsia="pt-BR"/>
              </w:rPr>
              <w:t xml:space="preserve"> para regularização de </w:t>
            </w:r>
            <w:r w:rsidRPr="004638AD">
              <w:rPr>
                <w:rFonts w:ascii="Times New Roman" w:hAnsi="Times New Roman" w:cs="Times New Roman"/>
                <w:color w:val="000000"/>
                <w:sz w:val="20"/>
                <w:szCs w:val="20"/>
              </w:rPr>
              <w:t>inconsistências detectadas na VPD  321110200 – Aposentadorias pendentes de aprovação – TCU.</w:t>
            </w:r>
          </w:p>
        </w:tc>
        <w:tc>
          <w:tcPr>
            <w:tcW w:w="1238" w:type="dxa"/>
            <w:vAlign w:val="center"/>
          </w:tcPr>
          <w:p w14:paraId="06B01EA1" w14:textId="25D42466" w:rsidR="00F843E9" w:rsidRPr="004638AD" w:rsidRDefault="00F843E9"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Pessoal</w:t>
            </w:r>
          </w:p>
        </w:tc>
        <w:tc>
          <w:tcPr>
            <w:tcW w:w="1296" w:type="dxa"/>
            <w:vAlign w:val="center"/>
          </w:tcPr>
          <w:p w14:paraId="2D93B16C" w14:textId="77CD4B86" w:rsidR="00F843E9" w:rsidRPr="004638AD" w:rsidRDefault="00F843E9"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Regularizada</w:t>
            </w:r>
          </w:p>
        </w:tc>
      </w:tr>
      <w:tr w:rsidR="00971A77" w:rsidRPr="00707228" w14:paraId="1E17AF2E" w14:textId="77777777" w:rsidTr="004638AD">
        <w:trPr>
          <w:jc w:val="center"/>
        </w:trPr>
        <w:tc>
          <w:tcPr>
            <w:tcW w:w="1258" w:type="dxa"/>
            <w:vAlign w:val="center"/>
            <w:hideMark/>
          </w:tcPr>
          <w:p w14:paraId="7470EBB2" w14:textId="77777777" w:rsidR="006D71E1" w:rsidRPr="004638AD" w:rsidRDefault="006D71E1" w:rsidP="005D54A2">
            <w:pPr>
              <w:tabs>
                <w:tab w:val="left" w:pos="284"/>
              </w:tabs>
              <w:ind w:left="60" w:right="60" w:firstLine="0"/>
              <w:jc w:val="center"/>
              <w:rPr>
                <w:rFonts w:ascii="Times New Roman" w:eastAsia="Times New Roman" w:hAnsi="Times New Roman" w:cs="Times New Roman"/>
                <w:sz w:val="20"/>
                <w:szCs w:val="20"/>
                <w:lang w:eastAsia="pt-BR"/>
              </w:rPr>
            </w:pPr>
            <w:r w:rsidRPr="004638AD">
              <w:rPr>
                <w:rFonts w:ascii="Times New Roman" w:eastAsia="Times New Roman" w:hAnsi="Times New Roman" w:cs="Times New Roman"/>
                <w:sz w:val="20"/>
                <w:szCs w:val="20"/>
                <w:lang w:eastAsia="pt-BR"/>
              </w:rPr>
              <w:t>Id.</w:t>
            </w:r>
            <w:r w:rsidRPr="004638AD">
              <w:rPr>
                <w:rFonts w:ascii="Times New Roman" w:hAnsi="Times New Roman" w:cs="Times New Roman"/>
                <w:sz w:val="20"/>
                <w:szCs w:val="20"/>
              </w:rPr>
              <w:t xml:space="preserve"> </w:t>
            </w:r>
            <w:r w:rsidRPr="004638AD">
              <w:rPr>
                <w:rFonts w:ascii="Times New Roman" w:eastAsia="Times New Roman" w:hAnsi="Times New Roman" w:cs="Times New Roman"/>
                <w:sz w:val="20"/>
                <w:szCs w:val="20"/>
                <w:lang w:eastAsia="pt-BR"/>
              </w:rPr>
              <w:t>1464661</w:t>
            </w:r>
          </w:p>
        </w:tc>
        <w:tc>
          <w:tcPr>
            <w:tcW w:w="4850" w:type="dxa"/>
            <w:vAlign w:val="center"/>
          </w:tcPr>
          <w:p w14:paraId="2B0F08F2" w14:textId="77777777"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 xml:space="preserve">Nota de Auditoria à Seção de Material e Patrimônio – SEMAP/SUMES/SECAM para regularização de </w:t>
            </w:r>
            <w:r w:rsidRPr="004638AD">
              <w:rPr>
                <w:rFonts w:ascii="Times New Roman" w:hAnsi="Times New Roman" w:cs="Times New Roman"/>
                <w:color w:val="000000"/>
                <w:sz w:val="20"/>
                <w:szCs w:val="20"/>
              </w:rPr>
              <w:t>inconsistências nos procedimentos para registro, no SIAFI, das despesas de depreciação no âmbito das unidades gestoras do TRF6. </w:t>
            </w:r>
          </w:p>
        </w:tc>
        <w:tc>
          <w:tcPr>
            <w:tcW w:w="1238" w:type="dxa"/>
            <w:vAlign w:val="center"/>
          </w:tcPr>
          <w:p w14:paraId="7AD6FA5C"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244FA272" w14:textId="4963A1FF" w:rsidR="006D71E1" w:rsidRPr="004638AD" w:rsidRDefault="006D71E1" w:rsidP="00B93E38">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Regularizada</w:t>
            </w:r>
          </w:p>
        </w:tc>
      </w:tr>
      <w:tr w:rsidR="00971A77" w:rsidRPr="00707228" w14:paraId="7A3D29B6" w14:textId="77777777" w:rsidTr="004638AD">
        <w:trPr>
          <w:jc w:val="center"/>
        </w:trPr>
        <w:tc>
          <w:tcPr>
            <w:tcW w:w="1258" w:type="dxa"/>
            <w:vAlign w:val="center"/>
            <w:hideMark/>
          </w:tcPr>
          <w:p w14:paraId="0DA8414B" w14:textId="77777777" w:rsidR="006D71E1" w:rsidRPr="004638AD" w:rsidRDefault="006D71E1" w:rsidP="00D92613">
            <w:pPr>
              <w:tabs>
                <w:tab w:val="left" w:pos="284"/>
              </w:tabs>
              <w:ind w:left="60" w:right="60" w:firstLine="0"/>
              <w:jc w:val="center"/>
              <w:rPr>
                <w:rFonts w:ascii="Times New Roman" w:eastAsia="Times New Roman" w:hAnsi="Times New Roman" w:cs="Times New Roman"/>
                <w:sz w:val="20"/>
                <w:szCs w:val="20"/>
                <w:lang w:eastAsia="pt-BR"/>
              </w:rPr>
            </w:pPr>
            <w:r w:rsidRPr="004638AD">
              <w:rPr>
                <w:rFonts w:ascii="Times New Roman" w:eastAsia="Times New Roman" w:hAnsi="Times New Roman" w:cs="Times New Roman"/>
                <w:sz w:val="20"/>
                <w:szCs w:val="20"/>
                <w:lang w:eastAsia="pt-BR"/>
              </w:rPr>
              <w:t>Id. 1475751 e 1497537</w:t>
            </w:r>
          </w:p>
        </w:tc>
        <w:tc>
          <w:tcPr>
            <w:tcW w:w="4850" w:type="dxa"/>
            <w:vAlign w:val="center"/>
          </w:tcPr>
          <w:p w14:paraId="0ADD9BF6" w14:textId="77777777"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 xml:space="preserve">Nota de Auditoria à Seção de Material e Patrimônio – SEMAP/SUMES/SECAM e à Seção de Execução Orçamentária – SEORC/SUPLO/SECOF para regularização de </w:t>
            </w:r>
            <w:r w:rsidRPr="004638AD">
              <w:rPr>
                <w:rFonts w:ascii="Times New Roman" w:hAnsi="Times New Roman" w:cs="Times New Roman"/>
                <w:color w:val="000000"/>
                <w:sz w:val="20"/>
                <w:szCs w:val="20"/>
              </w:rPr>
              <w:t>inconsistências nos procedimentos relativos à aquisição de cadeiras giratórias para atender às unidades da SJMG e do TRF6. </w:t>
            </w:r>
          </w:p>
        </w:tc>
        <w:tc>
          <w:tcPr>
            <w:tcW w:w="1238" w:type="dxa"/>
            <w:vAlign w:val="center"/>
          </w:tcPr>
          <w:p w14:paraId="72B4EB4E"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493FA9C5" w14:textId="2A2D790A" w:rsidR="002801A2" w:rsidRPr="004638AD" w:rsidRDefault="002801A2"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Ite</w:t>
            </w:r>
            <w:r w:rsidR="00B771A3">
              <w:rPr>
                <w:rFonts w:ascii="Times New Roman" w:eastAsia="Times New Roman" w:hAnsi="Times New Roman" w:cs="Times New Roman"/>
                <w:color w:val="000000"/>
                <w:sz w:val="20"/>
                <w:szCs w:val="20"/>
                <w:lang w:eastAsia="pt-BR"/>
              </w:rPr>
              <w:t>ns</w:t>
            </w:r>
            <w:r w:rsidRPr="004638AD">
              <w:rPr>
                <w:rFonts w:ascii="Times New Roman" w:eastAsia="Times New Roman" w:hAnsi="Times New Roman" w:cs="Times New Roman"/>
                <w:color w:val="000000"/>
                <w:sz w:val="20"/>
                <w:szCs w:val="20"/>
                <w:lang w:eastAsia="pt-BR"/>
              </w:rPr>
              <w:t xml:space="preserve"> 1 e 3 - Regularizado</w:t>
            </w:r>
            <w:r w:rsidR="0009269F">
              <w:rPr>
                <w:rFonts w:ascii="Times New Roman" w:eastAsia="Times New Roman" w:hAnsi="Times New Roman" w:cs="Times New Roman"/>
                <w:color w:val="000000"/>
                <w:sz w:val="20"/>
                <w:szCs w:val="20"/>
                <w:lang w:eastAsia="pt-BR"/>
              </w:rPr>
              <w:t>s</w:t>
            </w:r>
          </w:p>
          <w:p w14:paraId="21B3FF5B" w14:textId="24EB4B22" w:rsidR="006D71E1" w:rsidRPr="004638AD" w:rsidRDefault="006D71E1"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Item 2 – Justificad</w:t>
            </w:r>
            <w:r w:rsidR="002801A2" w:rsidRPr="004638AD">
              <w:rPr>
                <w:rFonts w:ascii="Times New Roman" w:eastAsia="Times New Roman" w:hAnsi="Times New Roman" w:cs="Times New Roman"/>
                <w:color w:val="000000"/>
                <w:sz w:val="20"/>
                <w:szCs w:val="20"/>
                <w:lang w:eastAsia="pt-BR"/>
              </w:rPr>
              <w:t>o</w:t>
            </w:r>
          </w:p>
          <w:p w14:paraId="11580ED1" w14:textId="7B044067" w:rsidR="006D71E1" w:rsidRPr="004638AD" w:rsidRDefault="006D71E1" w:rsidP="00B93E38">
            <w:pPr>
              <w:tabs>
                <w:tab w:val="left" w:pos="284"/>
              </w:tabs>
              <w:ind w:left="60" w:right="60" w:firstLine="0"/>
              <w:jc w:val="center"/>
              <w:rPr>
                <w:rFonts w:ascii="Times New Roman" w:eastAsia="Times New Roman" w:hAnsi="Times New Roman" w:cs="Times New Roman"/>
                <w:color w:val="000000"/>
                <w:sz w:val="20"/>
                <w:szCs w:val="20"/>
                <w:lang w:eastAsia="pt-BR"/>
              </w:rPr>
            </w:pPr>
          </w:p>
        </w:tc>
      </w:tr>
      <w:tr w:rsidR="00971A77" w:rsidRPr="00707228" w14:paraId="36A832B2" w14:textId="77777777" w:rsidTr="004638AD">
        <w:trPr>
          <w:jc w:val="center"/>
        </w:trPr>
        <w:tc>
          <w:tcPr>
            <w:tcW w:w="1258" w:type="dxa"/>
            <w:vAlign w:val="center"/>
            <w:hideMark/>
          </w:tcPr>
          <w:p w14:paraId="17761764" w14:textId="77777777" w:rsidR="006D71E1" w:rsidRPr="004638AD" w:rsidRDefault="006D71E1" w:rsidP="00D92613">
            <w:pPr>
              <w:tabs>
                <w:tab w:val="left" w:pos="284"/>
              </w:tabs>
              <w:ind w:left="60" w:right="60" w:firstLine="0"/>
              <w:jc w:val="center"/>
              <w:rPr>
                <w:rFonts w:ascii="Times New Roman" w:eastAsia="Times New Roman" w:hAnsi="Times New Roman" w:cs="Times New Roman"/>
                <w:sz w:val="20"/>
                <w:szCs w:val="20"/>
                <w:lang w:eastAsia="pt-BR"/>
              </w:rPr>
            </w:pPr>
            <w:r w:rsidRPr="004638AD">
              <w:rPr>
                <w:rFonts w:ascii="Times New Roman" w:eastAsia="Times New Roman" w:hAnsi="Times New Roman" w:cs="Times New Roman"/>
                <w:sz w:val="20"/>
                <w:szCs w:val="20"/>
                <w:lang w:eastAsia="pt-BR"/>
              </w:rPr>
              <w:lastRenderedPageBreak/>
              <w:t>Id. 1482352</w:t>
            </w:r>
          </w:p>
        </w:tc>
        <w:tc>
          <w:tcPr>
            <w:tcW w:w="4850" w:type="dxa"/>
            <w:vAlign w:val="center"/>
          </w:tcPr>
          <w:p w14:paraId="286C1CF0" w14:textId="77777777"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 xml:space="preserve">Nota de Auditoria à Seção de Material e Patrimônio – SEMAP/SUMES/SECAM para regularização de </w:t>
            </w:r>
            <w:r w:rsidRPr="004638AD">
              <w:rPr>
                <w:rFonts w:ascii="Times New Roman" w:hAnsi="Times New Roman" w:cs="Times New Roman"/>
                <w:color w:val="000000"/>
                <w:sz w:val="20"/>
                <w:szCs w:val="20"/>
              </w:rPr>
              <w:t>inconsistências no procedimento de aquisição de mobiliário para compor o Plenário do TRF6.</w:t>
            </w:r>
          </w:p>
        </w:tc>
        <w:tc>
          <w:tcPr>
            <w:tcW w:w="1238" w:type="dxa"/>
            <w:vAlign w:val="center"/>
          </w:tcPr>
          <w:p w14:paraId="569EF336"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2AE53828" w14:textId="0594A0A7" w:rsidR="006D71E1" w:rsidRPr="004638AD" w:rsidRDefault="002801A2"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Regularizad</w:t>
            </w:r>
            <w:r w:rsidR="00B771A3">
              <w:rPr>
                <w:rFonts w:ascii="Times New Roman" w:eastAsia="Times New Roman" w:hAnsi="Times New Roman" w:cs="Times New Roman"/>
                <w:color w:val="000000"/>
                <w:sz w:val="20"/>
                <w:szCs w:val="20"/>
                <w:lang w:eastAsia="pt-BR"/>
              </w:rPr>
              <w:t>a</w:t>
            </w:r>
          </w:p>
        </w:tc>
      </w:tr>
      <w:tr w:rsidR="00971A77" w:rsidRPr="00707228" w14:paraId="3E8A9B0E" w14:textId="77777777" w:rsidTr="004638AD">
        <w:trPr>
          <w:jc w:val="center"/>
        </w:trPr>
        <w:tc>
          <w:tcPr>
            <w:tcW w:w="1258" w:type="dxa"/>
            <w:vAlign w:val="center"/>
          </w:tcPr>
          <w:p w14:paraId="6DAD9A2C" w14:textId="77777777" w:rsidR="006D71E1" w:rsidRPr="004638AD" w:rsidRDefault="006D71E1" w:rsidP="00D92613">
            <w:pPr>
              <w:tabs>
                <w:tab w:val="left" w:pos="284"/>
              </w:tabs>
              <w:ind w:left="60" w:right="60" w:firstLine="0"/>
              <w:jc w:val="center"/>
              <w:rPr>
                <w:rFonts w:ascii="Times New Roman" w:eastAsia="Times New Roman" w:hAnsi="Times New Roman" w:cs="Times New Roman"/>
                <w:sz w:val="20"/>
                <w:szCs w:val="20"/>
                <w:lang w:eastAsia="pt-BR"/>
              </w:rPr>
            </w:pPr>
            <w:r w:rsidRPr="004638AD">
              <w:rPr>
                <w:rFonts w:ascii="Times New Roman" w:eastAsia="Times New Roman" w:hAnsi="Times New Roman" w:cs="Times New Roman"/>
                <w:sz w:val="20"/>
                <w:szCs w:val="20"/>
                <w:lang w:eastAsia="pt-BR"/>
              </w:rPr>
              <w:t>Id. 1491077</w:t>
            </w:r>
          </w:p>
        </w:tc>
        <w:tc>
          <w:tcPr>
            <w:tcW w:w="4850" w:type="dxa"/>
            <w:vAlign w:val="center"/>
          </w:tcPr>
          <w:p w14:paraId="38007D13" w14:textId="77777777"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 xml:space="preserve">Nota de Auditoria à Seção de Material e Patrimônio – SEMAP/SUMES/SECAM para regularização de </w:t>
            </w:r>
            <w:r w:rsidRPr="004638AD">
              <w:rPr>
                <w:rFonts w:ascii="Times New Roman" w:hAnsi="Times New Roman" w:cs="Times New Roman"/>
                <w:color w:val="000000"/>
                <w:sz w:val="20"/>
                <w:szCs w:val="20"/>
              </w:rPr>
              <w:t>inconsistências nos procedimentos relativos à aquisição de mobiliário para atender às unidades da SJMG e do TRF6.</w:t>
            </w:r>
          </w:p>
        </w:tc>
        <w:tc>
          <w:tcPr>
            <w:tcW w:w="1238" w:type="dxa"/>
            <w:vAlign w:val="center"/>
          </w:tcPr>
          <w:p w14:paraId="05CB1BBF"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5BF419B2" w14:textId="0DD587E0" w:rsidR="006D71E1" w:rsidRPr="004638AD" w:rsidRDefault="009D3DDE"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Regularizad</w:t>
            </w:r>
            <w:r w:rsidR="00B771A3">
              <w:rPr>
                <w:rFonts w:ascii="Times New Roman" w:eastAsia="Times New Roman" w:hAnsi="Times New Roman" w:cs="Times New Roman"/>
                <w:color w:val="000000"/>
                <w:sz w:val="20"/>
                <w:szCs w:val="20"/>
                <w:lang w:eastAsia="pt-BR"/>
              </w:rPr>
              <w:t>a</w:t>
            </w:r>
          </w:p>
        </w:tc>
      </w:tr>
      <w:tr w:rsidR="00971A77" w:rsidRPr="00707228" w14:paraId="7DE2B29D" w14:textId="77777777" w:rsidTr="004638AD">
        <w:trPr>
          <w:jc w:val="center"/>
        </w:trPr>
        <w:tc>
          <w:tcPr>
            <w:tcW w:w="1258" w:type="dxa"/>
            <w:vAlign w:val="center"/>
          </w:tcPr>
          <w:p w14:paraId="194066CA" w14:textId="77777777" w:rsidR="006D71E1" w:rsidRPr="004638AD" w:rsidRDefault="006D71E1" w:rsidP="00D92613">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Id. 1510683</w:t>
            </w:r>
          </w:p>
        </w:tc>
        <w:tc>
          <w:tcPr>
            <w:tcW w:w="4850" w:type="dxa"/>
            <w:vAlign w:val="center"/>
          </w:tcPr>
          <w:p w14:paraId="56B41A57" w14:textId="77777777" w:rsidR="006D71E1" w:rsidRPr="004638AD" w:rsidRDefault="006D71E1"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Nota de Auditoria à Seção de Pagamento de Pessoal – SEPAG/SUCPA/SECGP para apresentação de achados preliminares referentes às transações subjacentes do ciclo de pessoal.</w:t>
            </w:r>
          </w:p>
        </w:tc>
        <w:tc>
          <w:tcPr>
            <w:tcW w:w="1238" w:type="dxa"/>
            <w:vAlign w:val="center"/>
          </w:tcPr>
          <w:p w14:paraId="566355F8" w14:textId="77777777" w:rsidR="006D71E1" w:rsidRPr="004638AD" w:rsidRDefault="006D71E1"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Pessoal</w:t>
            </w:r>
          </w:p>
        </w:tc>
        <w:tc>
          <w:tcPr>
            <w:tcW w:w="1296" w:type="dxa"/>
            <w:vAlign w:val="center"/>
          </w:tcPr>
          <w:p w14:paraId="3BE5E72E" w14:textId="1047E62D" w:rsidR="006D71E1" w:rsidRPr="00A3584F" w:rsidRDefault="00DD4102" w:rsidP="00B93E38">
            <w:pPr>
              <w:tabs>
                <w:tab w:val="left" w:pos="284"/>
              </w:tabs>
              <w:ind w:left="60" w:right="60" w:firstLine="0"/>
              <w:jc w:val="center"/>
              <w:rPr>
                <w:rFonts w:ascii="Times New Roman" w:eastAsia="Times New Roman" w:hAnsi="Times New Roman" w:cs="Times New Roman"/>
                <w:sz w:val="20"/>
                <w:szCs w:val="20"/>
                <w:lang w:eastAsia="pt-BR"/>
              </w:rPr>
            </w:pPr>
            <w:r w:rsidRPr="00A3584F">
              <w:rPr>
                <w:rFonts w:ascii="Times New Roman" w:eastAsia="Times New Roman" w:hAnsi="Times New Roman" w:cs="Times New Roman"/>
                <w:sz w:val="20"/>
                <w:szCs w:val="20"/>
                <w:lang w:eastAsia="pt-BR"/>
              </w:rPr>
              <w:t>Em andamento</w:t>
            </w:r>
          </w:p>
        </w:tc>
      </w:tr>
      <w:tr w:rsidR="00E16472" w:rsidRPr="00707228" w14:paraId="5EB6C3A9" w14:textId="77777777" w:rsidTr="004638AD">
        <w:trPr>
          <w:jc w:val="center"/>
        </w:trPr>
        <w:tc>
          <w:tcPr>
            <w:tcW w:w="1258" w:type="dxa"/>
            <w:vAlign w:val="center"/>
          </w:tcPr>
          <w:p w14:paraId="1E57349D" w14:textId="1531F495" w:rsidR="00E16472" w:rsidRPr="004638AD" w:rsidRDefault="00E16472" w:rsidP="00D92613">
            <w:pPr>
              <w:tabs>
                <w:tab w:val="left" w:pos="284"/>
              </w:tabs>
              <w:ind w:left="60" w:right="60"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Id. 1649295</w:t>
            </w:r>
          </w:p>
        </w:tc>
        <w:tc>
          <w:tcPr>
            <w:tcW w:w="4850" w:type="dxa"/>
            <w:vAlign w:val="center"/>
          </w:tcPr>
          <w:p w14:paraId="128A2149" w14:textId="780342D6" w:rsidR="00E16472" w:rsidRPr="004638AD" w:rsidRDefault="00E16472" w:rsidP="005D54A2">
            <w:pPr>
              <w:tabs>
                <w:tab w:val="left" w:pos="284"/>
              </w:tabs>
              <w:ind w:left="60" w:right="60" w:firstLine="0"/>
              <w:jc w:val="both"/>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 xml:space="preserve">Nota de Auditoria à Seção de Pagamento de Pessoal – </w:t>
            </w:r>
            <w:r>
              <w:rPr>
                <w:rFonts w:ascii="Times New Roman" w:eastAsia="Times New Roman" w:hAnsi="Times New Roman" w:cs="Times New Roman"/>
                <w:color w:val="000000"/>
                <w:sz w:val="20"/>
                <w:szCs w:val="20"/>
                <w:lang w:eastAsia="pt-BR"/>
              </w:rPr>
              <w:t>ASMAG</w:t>
            </w:r>
            <w:r w:rsidRPr="004638AD">
              <w:rPr>
                <w:rFonts w:ascii="Times New Roman" w:eastAsia="Times New Roman" w:hAnsi="Times New Roman" w:cs="Times New Roman"/>
                <w:color w:val="000000"/>
                <w:sz w:val="20"/>
                <w:szCs w:val="20"/>
                <w:lang w:eastAsia="pt-BR"/>
              </w:rPr>
              <w:t xml:space="preserve"> para apresentação de achados preliminares referentes às transações subjacentes do ciclo de pessoal.</w:t>
            </w:r>
          </w:p>
        </w:tc>
        <w:tc>
          <w:tcPr>
            <w:tcW w:w="1238" w:type="dxa"/>
            <w:vAlign w:val="center"/>
          </w:tcPr>
          <w:p w14:paraId="582BB47A" w14:textId="206CD337" w:rsidR="00E16472" w:rsidRPr="004638AD" w:rsidRDefault="00E16472" w:rsidP="005D54A2">
            <w:pPr>
              <w:tabs>
                <w:tab w:val="left" w:pos="284"/>
              </w:tabs>
              <w:ind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Pessoal</w:t>
            </w:r>
          </w:p>
        </w:tc>
        <w:tc>
          <w:tcPr>
            <w:tcW w:w="1296" w:type="dxa"/>
            <w:vAlign w:val="center"/>
          </w:tcPr>
          <w:p w14:paraId="1FB786B0" w14:textId="4CDB97BE" w:rsidR="00E16472" w:rsidRPr="00A3584F" w:rsidRDefault="00E16472" w:rsidP="00B93E38">
            <w:pPr>
              <w:tabs>
                <w:tab w:val="left" w:pos="284"/>
              </w:tabs>
              <w:ind w:left="60" w:right="60" w:firstLine="0"/>
              <w:jc w:val="center"/>
              <w:rPr>
                <w:rFonts w:ascii="Times New Roman" w:eastAsia="Times New Roman" w:hAnsi="Times New Roman" w:cs="Times New Roman"/>
                <w:sz w:val="20"/>
                <w:szCs w:val="20"/>
                <w:lang w:eastAsia="pt-BR"/>
              </w:rPr>
            </w:pPr>
            <w:r w:rsidRPr="00A3584F">
              <w:rPr>
                <w:rFonts w:ascii="Times New Roman" w:eastAsia="Times New Roman" w:hAnsi="Times New Roman" w:cs="Times New Roman"/>
                <w:sz w:val="20"/>
                <w:szCs w:val="20"/>
                <w:lang w:eastAsia="pt-BR"/>
              </w:rPr>
              <w:t>Em andamento</w:t>
            </w:r>
          </w:p>
        </w:tc>
      </w:tr>
      <w:tr w:rsidR="000B09CF" w:rsidRPr="00707228" w14:paraId="49289F11" w14:textId="77777777" w:rsidTr="000B09CF">
        <w:trPr>
          <w:jc w:val="center"/>
        </w:trPr>
        <w:tc>
          <w:tcPr>
            <w:tcW w:w="8642" w:type="dxa"/>
            <w:gridSpan w:val="4"/>
            <w:shd w:val="clear" w:color="auto" w:fill="D9D9D9" w:themeFill="background1" w:themeFillShade="D9"/>
            <w:vAlign w:val="center"/>
          </w:tcPr>
          <w:p w14:paraId="08ABFD7F" w14:textId="3D872FFF" w:rsidR="000B09CF" w:rsidRPr="004638AD" w:rsidRDefault="000B09CF" w:rsidP="000B09CF">
            <w:pPr>
              <w:tabs>
                <w:tab w:val="left" w:pos="284"/>
              </w:tabs>
              <w:ind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RELATÓRIO PRELIMINAR DE AUDITORIA</w:t>
            </w:r>
          </w:p>
        </w:tc>
      </w:tr>
      <w:tr w:rsidR="000B09CF" w:rsidRPr="00707228" w14:paraId="345D2F39" w14:textId="77777777" w:rsidTr="004638AD">
        <w:trPr>
          <w:jc w:val="center"/>
        </w:trPr>
        <w:tc>
          <w:tcPr>
            <w:tcW w:w="1258" w:type="dxa"/>
            <w:shd w:val="clear" w:color="auto" w:fill="D9D9D9" w:themeFill="background1" w:themeFillShade="D9"/>
            <w:vAlign w:val="center"/>
          </w:tcPr>
          <w:p w14:paraId="539CDD38" w14:textId="64B98B3E" w:rsidR="000B09CF" w:rsidRPr="004638AD" w:rsidRDefault="000B09CF" w:rsidP="00B93E38">
            <w:pPr>
              <w:tabs>
                <w:tab w:val="left" w:pos="284"/>
              </w:tabs>
              <w:ind w:left="60"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Doc. - SEI</w:t>
            </w:r>
          </w:p>
        </w:tc>
        <w:tc>
          <w:tcPr>
            <w:tcW w:w="4850" w:type="dxa"/>
            <w:shd w:val="clear" w:color="auto" w:fill="D9D9D9" w:themeFill="background1" w:themeFillShade="D9"/>
            <w:vAlign w:val="center"/>
          </w:tcPr>
          <w:p w14:paraId="43DF87B5" w14:textId="351947D2" w:rsidR="000B09CF" w:rsidRPr="004638AD" w:rsidRDefault="000B09CF" w:rsidP="00B93E38">
            <w:pPr>
              <w:tabs>
                <w:tab w:val="left" w:pos="284"/>
              </w:tabs>
              <w:ind w:left="60"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Assunto</w:t>
            </w:r>
          </w:p>
        </w:tc>
        <w:tc>
          <w:tcPr>
            <w:tcW w:w="1238" w:type="dxa"/>
            <w:shd w:val="clear" w:color="auto" w:fill="D9D9D9" w:themeFill="background1" w:themeFillShade="D9"/>
            <w:vAlign w:val="center"/>
          </w:tcPr>
          <w:p w14:paraId="716606D7" w14:textId="688CE959" w:rsidR="000B09CF" w:rsidRPr="004638AD" w:rsidRDefault="000B09CF" w:rsidP="00B93E38">
            <w:pPr>
              <w:tabs>
                <w:tab w:val="left" w:pos="284"/>
              </w:tabs>
              <w:ind w:left="60"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Ciclo</w:t>
            </w:r>
          </w:p>
        </w:tc>
        <w:tc>
          <w:tcPr>
            <w:tcW w:w="1296" w:type="dxa"/>
            <w:shd w:val="clear" w:color="auto" w:fill="D9D9D9" w:themeFill="background1" w:themeFillShade="D9"/>
            <w:vAlign w:val="center"/>
          </w:tcPr>
          <w:p w14:paraId="3D7E6107" w14:textId="1C73EE32" w:rsidR="000B09CF" w:rsidRPr="004638AD" w:rsidRDefault="000B09CF" w:rsidP="00B93E38">
            <w:pPr>
              <w:tabs>
                <w:tab w:val="left" w:pos="284"/>
              </w:tabs>
              <w:ind w:left="60" w:right="60" w:firstLine="0"/>
              <w:jc w:val="center"/>
              <w:rPr>
                <w:rFonts w:ascii="Times New Roman" w:eastAsia="Times New Roman" w:hAnsi="Times New Roman" w:cs="Times New Roman"/>
                <w:b/>
                <w:bCs/>
                <w:color w:val="000000"/>
                <w:sz w:val="20"/>
                <w:szCs w:val="20"/>
                <w:lang w:eastAsia="pt-BR"/>
              </w:rPr>
            </w:pPr>
            <w:r w:rsidRPr="004638AD">
              <w:rPr>
                <w:rFonts w:ascii="Times New Roman" w:eastAsia="Times New Roman" w:hAnsi="Times New Roman" w:cs="Times New Roman"/>
                <w:b/>
                <w:bCs/>
                <w:color w:val="000000"/>
                <w:sz w:val="20"/>
                <w:szCs w:val="20"/>
                <w:lang w:eastAsia="pt-BR"/>
              </w:rPr>
              <w:t>Situação</w:t>
            </w:r>
          </w:p>
        </w:tc>
      </w:tr>
      <w:tr w:rsidR="004638AD" w:rsidRPr="00707228" w14:paraId="67191212" w14:textId="77777777" w:rsidTr="004638AD">
        <w:trPr>
          <w:jc w:val="center"/>
        </w:trPr>
        <w:tc>
          <w:tcPr>
            <w:tcW w:w="1258" w:type="dxa"/>
            <w:vMerge w:val="restart"/>
            <w:vAlign w:val="center"/>
          </w:tcPr>
          <w:p w14:paraId="08D425DD" w14:textId="3FD8534A" w:rsidR="004638AD" w:rsidRPr="004638AD" w:rsidRDefault="004638AD"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Id. </w:t>
            </w:r>
            <w:r w:rsidRPr="004638AD">
              <w:rPr>
                <w:rFonts w:ascii="Times New Roman" w:eastAsia="Times New Roman" w:hAnsi="Times New Roman" w:cs="Times New Roman"/>
                <w:color w:val="000000"/>
                <w:sz w:val="20"/>
                <w:szCs w:val="20"/>
                <w:lang w:eastAsia="pt-BR"/>
              </w:rPr>
              <w:t>1527726</w:t>
            </w:r>
          </w:p>
        </w:tc>
        <w:tc>
          <w:tcPr>
            <w:tcW w:w="4850" w:type="dxa"/>
            <w:vAlign w:val="center"/>
          </w:tcPr>
          <w:p w14:paraId="4DBD3D11" w14:textId="637559E8" w:rsidR="004638AD" w:rsidRPr="008217F2" w:rsidRDefault="008217F2" w:rsidP="008217F2">
            <w:pPr>
              <w:tabs>
                <w:tab w:val="left" w:pos="284"/>
              </w:tabs>
              <w:ind w:left="60" w:right="60" w:firstLine="0"/>
              <w:jc w:val="both"/>
              <w:rPr>
                <w:rFonts w:ascii="Times New Roman" w:eastAsia="Times New Roman" w:hAnsi="Times New Roman" w:cs="Times New Roman"/>
                <w:color w:val="000000"/>
                <w:sz w:val="20"/>
                <w:szCs w:val="20"/>
                <w:lang w:eastAsia="pt-BR"/>
              </w:rPr>
            </w:pPr>
            <w:r w:rsidRPr="008217F2">
              <w:rPr>
                <w:rFonts w:ascii="Times New Roman" w:eastAsia="Times New Roman" w:hAnsi="Times New Roman" w:cs="Times New Roman"/>
                <w:color w:val="000000"/>
                <w:sz w:val="20"/>
                <w:szCs w:val="20"/>
                <w:lang w:eastAsia="pt-BR"/>
              </w:rPr>
              <w:t xml:space="preserve">3.1. Inconsistência na incorporação patrimonial de mobiliário em geral entre as </w:t>
            </w:r>
            <w:proofErr w:type="spellStart"/>
            <w:r w:rsidRPr="008217F2">
              <w:rPr>
                <w:rFonts w:ascii="Times New Roman" w:eastAsia="Times New Roman" w:hAnsi="Times New Roman" w:cs="Times New Roman"/>
                <w:color w:val="000000"/>
                <w:sz w:val="20"/>
                <w:szCs w:val="20"/>
                <w:lang w:eastAsia="pt-BR"/>
              </w:rPr>
              <w:t>UGs</w:t>
            </w:r>
            <w:proofErr w:type="spellEnd"/>
            <w:r w:rsidRPr="008217F2">
              <w:rPr>
                <w:rFonts w:ascii="Times New Roman" w:eastAsia="Times New Roman" w:hAnsi="Times New Roman" w:cs="Times New Roman"/>
                <w:color w:val="000000"/>
                <w:sz w:val="20"/>
                <w:szCs w:val="20"/>
                <w:lang w:eastAsia="pt-BR"/>
              </w:rPr>
              <w:t xml:space="preserve"> do Tribunal e da Seção Judiciária</w:t>
            </w:r>
          </w:p>
        </w:tc>
        <w:tc>
          <w:tcPr>
            <w:tcW w:w="1238" w:type="dxa"/>
            <w:vAlign w:val="center"/>
          </w:tcPr>
          <w:p w14:paraId="6FDC8E56" w14:textId="0DD1180E" w:rsidR="004638AD" w:rsidRPr="004638AD" w:rsidRDefault="008217F2"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7B4D7F49" w14:textId="23FDFFBB" w:rsidR="004638AD" w:rsidRPr="004638AD" w:rsidRDefault="00A7623D"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Regularizado</w:t>
            </w:r>
          </w:p>
        </w:tc>
      </w:tr>
      <w:tr w:rsidR="004638AD" w:rsidRPr="00707228" w14:paraId="534BD594" w14:textId="77777777" w:rsidTr="004638AD">
        <w:trPr>
          <w:jc w:val="center"/>
        </w:trPr>
        <w:tc>
          <w:tcPr>
            <w:tcW w:w="1258" w:type="dxa"/>
            <w:vMerge/>
            <w:vAlign w:val="center"/>
          </w:tcPr>
          <w:p w14:paraId="235D35FC" w14:textId="77777777" w:rsidR="004638AD" w:rsidRPr="004638AD" w:rsidRDefault="004638AD" w:rsidP="00B93E38">
            <w:pPr>
              <w:tabs>
                <w:tab w:val="left" w:pos="284"/>
              </w:tabs>
              <w:ind w:left="60" w:right="60" w:firstLine="0"/>
              <w:jc w:val="center"/>
              <w:rPr>
                <w:rFonts w:ascii="Times New Roman" w:eastAsia="Times New Roman" w:hAnsi="Times New Roman" w:cs="Times New Roman"/>
                <w:color w:val="000000"/>
                <w:sz w:val="20"/>
                <w:szCs w:val="20"/>
                <w:lang w:eastAsia="pt-BR"/>
              </w:rPr>
            </w:pPr>
          </w:p>
        </w:tc>
        <w:tc>
          <w:tcPr>
            <w:tcW w:w="4850" w:type="dxa"/>
            <w:vAlign w:val="center"/>
          </w:tcPr>
          <w:p w14:paraId="49ECC489" w14:textId="74D69E63" w:rsidR="004638AD" w:rsidRPr="008217F2" w:rsidRDefault="008217F2" w:rsidP="008217F2">
            <w:pPr>
              <w:tabs>
                <w:tab w:val="left" w:pos="284"/>
              </w:tabs>
              <w:ind w:left="60" w:right="60" w:firstLine="0"/>
              <w:jc w:val="both"/>
              <w:rPr>
                <w:rFonts w:ascii="Times New Roman" w:eastAsia="Times New Roman" w:hAnsi="Times New Roman" w:cs="Times New Roman"/>
                <w:color w:val="000000"/>
                <w:sz w:val="20"/>
                <w:szCs w:val="20"/>
                <w:lang w:eastAsia="pt-BR"/>
              </w:rPr>
            </w:pPr>
            <w:r w:rsidRPr="008217F2">
              <w:rPr>
                <w:rFonts w:ascii="Times New Roman" w:eastAsia="Times New Roman" w:hAnsi="Times New Roman" w:cs="Times New Roman"/>
                <w:color w:val="000000"/>
                <w:sz w:val="20"/>
                <w:szCs w:val="20"/>
                <w:lang w:eastAsia="pt-BR"/>
              </w:rPr>
              <w:t>3.2. Classificação indevida da natureza de despesa na aquisição de equipamentos de TIC</w:t>
            </w:r>
          </w:p>
        </w:tc>
        <w:tc>
          <w:tcPr>
            <w:tcW w:w="1238" w:type="dxa"/>
            <w:vAlign w:val="center"/>
          </w:tcPr>
          <w:p w14:paraId="1B3C9A42" w14:textId="2D93F149" w:rsidR="004638AD" w:rsidRPr="004638AD" w:rsidRDefault="008217F2"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7EF68B52" w14:textId="4B08C4C1" w:rsidR="004638AD" w:rsidRPr="004638AD" w:rsidRDefault="00B37DF1"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Justificado</w:t>
            </w:r>
          </w:p>
        </w:tc>
      </w:tr>
      <w:tr w:rsidR="004638AD" w:rsidRPr="00707228" w14:paraId="2123B0CD" w14:textId="77777777" w:rsidTr="004638AD">
        <w:trPr>
          <w:jc w:val="center"/>
        </w:trPr>
        <w:tc>
          <w:tcPr>
            <w:tcW w:w="1258" w:type="dxa"/>
            <w:vMerge/>
            <w:vAlign w:val="center"/>
          </w:tcPr>
          <w:p w14:paraId="76925AC0" w14:textId="77777777" w:rsidR="004638AD" w:rsidRPr="004638AD" w:rsidRDefault="004638AD" w:rsidP="00B93E38">
            <w:pPr>
              <w:tabs>
                <w:tab w:val="left" w:pos="284"/>
              </w:tabs>
              <w:ind w:left="60" w:right="60" w:firstLine="0"/>
              <w:jc w:val="center"/>
              <w:rPr>
                <w:rFonts w:ascii="Times New Roman" w:eastAsia="Times New Roman" w:hAnsi="Times New Roman" w:cs="Times New Roman"/>
                <w:color w:val="000000"/>
                <w:sz w:val="20"/>
                <w:szCs w:val="20"/>
                <w:lang w:eastAsia="pt-BR"/>
              </w:rPr>
            </w:pPr>
          </w:p>
        </w:tc>
        <w:tc>
          <w:tcPr>
            <w:tcW w:w="4850" w:type="dxa"/>
            <w:vAlign w:val="center"/>
          </w:tcPr>
          <w:p w14:paraId="67B06777" w14:textId="33C67137" w:rsidR="004638AD" w:rsidRPr="008217F2" w:rsidRDefault="008217F2" w:rsidP="008217F2">
            <w:pPr>
              <w:tabs>
                <w:tab w:val="left" w:pos="284"/>
              </w:tabs>
              <w:ind w:left="60" w:right="60" w:firstLine="0"/>
              <w:jc w:val="both"/>
              <w:rPr>
                <w:rFonts w:ascii="Times New Roman" w:eastAsia="Times New Roman" w:hAnsi="Times New Roman" w:cs="Times New Roman"/>
                <w:color w:val="000000"/>
                <w:sz w:val="20"/>
                <w:szCs w:val="20"/>
                <w:lang w:eastAsia="pt-BR"/>
              </w:rPr>
            </w:pPr>
            <w:r w:rsidRPr="008217F2">
              <w:rPr>
                <w:rFonts w:ascii="Times New Roman" w:eastAsia="Times New Roman" w:hAnsi="Times New Roman" w:cs="Times New Roman"/>
                <w:color w:val="000000"/>
                <w:sz w:val="20"/>
                <w:szCs w:val="20"/>
                <w:lang w:eastAsia="pt-BR"/>
              </w:rPr>
              <w:t>3.3. Bens de pequeno valor registrado no ativo do Tribunal e da SJMG</w:t>
            </w:r>
          </w:p>
        </w:tc>
        <w:tc>
          <w:tcPr>
            <w:tcW w:w="1238" w:type="dxa"/>
            <w:vAlign w:val="center"/>
          </w:tcPr>
          <w:p w14:paraId="757E39D6" w14:textId="1F9C55DD" w:rsidR="004638AD" w:rsidRPr="004638AD" w:rsidRDefault="008217F2"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067DBF61" w14:textId="79729E00" w:rsidR="004638AD" w:rsidRPr="004638AD" w:rsidRDefault="00B37DF1"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Justificado</w:t>
            </w:r>
          </w:p>
        </w:tc>
      </w:tr>
      <w:tr w:rsidR="004638AD" w:rsidRPr="00707228" w14:paraId="758ADFD9" w14:textId="77777777" w:rsidTr="004638AD">
        <w:trPr>
          <w:jc w:val="center"/>
        </w:trPr>
        <w:tc>
          <w:tcPr>
            <w:tcW w:w="1258" w:type="dxa"/>
            <w:vMerge/>
            <w:vAlign w:val="center"/>
          </w:tcPr>
          <w:p w14:paraId="6FD7C3CD" w14:textId="77777777" w:rsidR="004638AD" w:rsidRPr="004638AD" w:rsidRDefault="004638AD" w:rsidP="00B93E38">
            <w:pPr>
              <w:tabs>
                <w:tab w:val="left" w:pos="284"/>
              </w:tabs>
              <w:ind w:left="60" w:right="60" w:firstLine="0"/>
              <w:jc w:val="center"/>
              <w:rPr>
                <w:rFonts w:ascii="Times New Roman" w:eastAsia="Times New Roman" w:hAnsi="Times New Roman" w:cs="Times New Roman"/>
                <w:color w:val="000000"/>
                <w:sz w:val="20"/>
                <w:szCs w:val="20"/>
                <w:lang w:eastAsia="pt-BR"/>
              </w:rPr>
            </w:pPr>
          </w:p>
        </w:tc>
        <w:tc>
          <w:tcPr>
            <w:tcW w:w="4850" w:type="dxa"/>
            <w:vAlign w:val="center"/>
          </w:tcPr>
          <w:p w14:paraId="437F797F" w14:textId="23BB45A8" w:rsidR="004638AD" w:rsidRPr="008217F2" w:rsidRDefault="008217F2" w:rsidP="008217F2">
            <w:pPr>
              <w:tabs>
                <w:tab w:val="left" w:pos="284"/>
              </w:tabs>
              <w:ind w:left="60" w:right="60" w:firstLine="0"/>
              <w:jc w:val="both"/>
              <w:rPr>
                <w:rFonts w:ascii="Times New Roman" w:eastAsia="Times New Roman" w:hAnsi="Times New Roman" w:cs="Times New Roman"/>
                <w:color w:val="000000"/>
                <w:sz w:val="20"/>
                <w:szCs w:val="20"/>
                <w:lang w:eastAsia="pt-BR"/>
              </w:rPr>
            </w:pPr>
            <w:r w:rsidRPr="008217F2">
              <w:rPr>
                <w:rFonts w:ascii="Times New Roman" w:eastAsia="Times New Roman" w:hAnsi="Times New Roman" w:cs="Times New Roman"/>
                <w:color w:val="000000"/>
                <w:sz w:val="20"/>
                <w:szCs w:val="20"/>
                <w:lang w:eastAsia="pt-BR"/>
              </w:rPr>
              <w:t xml:space="preserve">3.4. Baixa de bens não localizados sem observância integral dos procedimentos previstos na </w:t>
            </w:r>
            <w:proofErr w:type="spellStart"/>
            <w:r w:rsidRPr="008217F2">
              <w:rPr>
                <w:rFonts w:ascii="Times New Roman" w:eastAsia="Times New Roman" w:hAnsi="Times New Roman" w:cs="Times New Roman"/>
                <w:color w:val="000000"/>
                <w:sz w:val="20"/>
                <w:szCs w:val="20"/>
                <w:lang w:eastAsia="pt-BR"/>
              </w:rPr>
              <w:t>Macrofunção</w:t>
            </w:r>
            <w:proofErr w:type="spellEnd"/>
            <w:r w:rsidRPr="008217F2">
              <w:rPr>
                <w:rFonts w:ascii="Times New Roman" w:eastAsia="Times New Roman" w:hAnsi="Times New Roman" w:cs="Times New Roman"/>
                <w:color w:val="000000"/>
                <w:sz w:val="20"/>
                <w:szCs w:val="20"/>
                <w:lang w:eastAsia="pt-BR"/>
              </w:rPr>
              <w:t xml:space="preserve"> SIAFI 020330 e da IN 14-15 do TRF1</w:t>
            </w:r>
          </w:p>
        </w:tc>
        <w:tc>
          <w:tcPr>
            <w:tcW w:w="1238" w:type="dxa"/>
            <w:vAlign w:val="center"/>
          </w:tcPr>
          <w:p w14:paraId="0C64D7E1" w14:textId="4B96B8AE" w:rsidR="004638AD" w:rsidRPr="004638AD" w:rsidRDefault="008217F2"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sidRPr="004638AD">
              <w:rPr>
                <w:rFonts w:ascii="Times New Roman" w:eastAsia="Times New Roman" w:hAnsi="Times New Roman" w:cs="Times New Roman"/>
                <w:color w:val="000000"/>
                <w:sz w:val="20"/>
                <w:szCs w:val="20"/>
                <w:lang w:eastAsia="pt-BR"/>
              </w:rPr>
              <w:t>Patrimônio</w:t>
            </w:r>
          </w:p>
        </w:tc>
        <w:tc>
          <w:tcPr>
            <w:tcW w:w="1296" w:type="dxa"/>
            <w:vAlign w:val="center"/>
          </w:tcPr>
          <w:p w14:paraId="13BA84F1" w14:textId="17E1608C" w:rsidR="004638AD" w:rsidRPr="004638AD" w:rsidRDefault="00B37DF1" w:rsidP="00B93E38">
            <w:pPr>
              <w:tabs>
                <w:tab w:val="left" w:pos="284"/>
              </w:tabs>
              <w:ind w:left="60" w:right="60"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Justificado</w:t>
            </w:r>
          </w:p>
        </w:tc>
      </w:tr>
    </w:tbl>
    <w:p w14:paraId="4341452D" w14:textId="7C70A8DA" w:rsidR="00A61C3A" w:rsidRPr="000A52A5" w:rsidRDefault="00A61C3A" w:rsidP="00D92613">
      <w:pPr>
        <w:ind w:left="708" w:right="120" w:firstLine="0"/>
        <w:jc w:val="both"/>
        <w:rPr>
          <w:rFonts w:ascii="Times New Roman" w:eastAsia="Times New Roman" w:hAnsi="Times New Roman" w:cs="Times New Roman"/>
          <w:sz w:val="20"/>
          <w:szCs w:val="20"/>
          <w:lang w:eastAsia="pt-BR"/>
        </w:rPr>
      </w:pPr>
      <w:r w:rsidRPr="000A52A5">
        <w:rPr>
          <w:rFonts w:ascii="Times New Roman" w:eastAsia="Times New Roman" w:hAnsi="Times New Roman" w:cs="Times New Roman"/>
          <w:sz w:val="20"/>
          <w:szCs w:val="20"/>
          <w:lang w:eastAsia="pt-BR"/>
        </w:rPr>
        <w:t>Fonte: Elaborado pela equipe de auditoria</w:t>
      </w:r>
    </w:p>
    <w:p w14:paraId="3A07B7B9" w14:textId="77777777" w:rsidR="00A61C3A" w:rsidRPr="00A61C3A" w:rsidRDefault="00A61C3A" w:rsidP="00747F11">
      <w:pPr>
        <w:ind w:right="119" w:firstLine="0"/>
        <w:jc w:val="both"/>
        <w:rPr>
          <w:rFonts w:ascii="Times New Roman" w:eastAsia="Times New Roman" w:hAnsi="Times New Roman" w:cs="Times New Roman"/>
          <w:sz w:val="24"/>
          <w:szCs w:val="24"/>
          <w:lang w:eastAsia="pt-BR"/>
        </w:rPr>
      </w:pPr>
    </w:p>
    <w:p w14:paraId="55200F05" w14:textId="73B8DE99" w:rsidR="00A61C3A" w:rsidRPr="00A61C3A" w:rsidRDefault="00A61C3A" w:rsidP="00747F11">
      <w:pPr>
        <w:spacing w:before="240"/>
        <w:ind w:right="120" w:firstLine="708"/>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color w:val="000000"/>
          <w:sz w:val="24"/>
          <w:szCs w:val="24"/>
          <w:lang w:eastAsia="pt-BR"/>
        </w:rPr>
        <w:t>O trabalho foi conduzido conforme os Termos do Trabalho de Auditoria, anexo</w:t>
      </w:r>
      <w:r w:rsidR="008659E5">
        <w:rPr>
          <w:rFonts w:ascii="Times New Roman" w:eastAsia="Times New Roman" w:hAnsi="Times New Roman" w:cs="Times New Roman"/>
          <w:color w:val="000000"/>
          <w:sz w:val="24"/>
          <w:szCs w:val="24"/>
          <w:lang w:eastAsia="pt-BR"/>
        </w:rPr>
        <w:t>s</w:t>
      </w:r>
      <w:r w:rsidRPr="00A61C3A">
        <w:rPr>
          <w:rFonts w:ascii="Times New Roman" w:eastAsia="Times New Roman" w:hAnsi="Times New Roman" w:cs="Times New Roman"/>
          <w:color w:val="000000"/>
          <w:sz w:val="24"/>
          <w:szCs w:val="24"/>
          <w:lang w:eastAsia="pt-BR"/>
        </w:rPr>
        <w:t xml:space="preserve"> ao Comunicado de </w:t>
      </w:r>
      <w:r w:rsidRPr="00A23CFE">
        <w:rPr>
          <w:rFonts w:ascii="Times New Roman" w:eastAsia="Times New Roman" w:hAnsi="Times New Roman" w:cs="Times New Roman"/>
          <w:color w:val="000000"/>
          <w:sz w:val="24"/>
          <w:szCs w:val="24"/>
          <w:lang w:eastAsia="pt-BR"/>
        </w:rPr>
        <w:t xml:space="preserve">Auditoria </w:t>
      </w:r>
      <w:r w:rsidR="00DA17C3">
        <w:rPr>
          <w:rFonts w:ascii="Times New Roman" w:eastAsia="Times New Roman" w:hAnsi="Times New Roman" w:cs="Times New Roman"/>
          <w:color w:val="000000"/>
          <w:sz w:val="24"/>
          <w:szCs w:val="24"/>
          <w:lang w:eastAsia="pt-BR"/>
        </w:rPr>
        <w:t>(id. </w:t>
      </w:r>
      <w:r w:rsidR="000E2712" w:rsidRPr="000E2712">
        <w:rPr>
          <w:rFonts w:ascii="Times New Roman" w:eastAsia="Times New Roman" w:hAnsi="Times New Roman" w:cs="Times New Roman"/>
          <w:color w:val="000000"/>
          <w:sz w:val="24"/>
          <w:szCs w:val="24"/>
          <w:lang w:eastAsia="pt-BR"/>
        </w:rPr>
        <w:t>1366046</w:t>
      </w:r>
      <w:r w:rsidRPr="00A23CFE">
        <w:rPr>
          <w:rFonts w:ascii="Times New Roman" w:eastAsia="Times New Roman" w:hAnsi="Times New Roman" w:cs="Times New Roman"/>
          <w:color w:val="000000"/>
          <w:sz w:val="24"/>
          <w:szCs w:val="24"/>
          <w:lang w:eastAsia="pt-BR"/>
        </w:rPr>
        <w:t>)</w:t>
      </w:r>
      <w:r w:rsidR="006C1625" w:rsidRPr="00A23CFE">
        <w:rPr>
          <w:rFonts w:ascii="Times New Roman" w:eastAsia="Times New Roman" w:hAnsi="Times New Roman" w:cs="Times New Roman"/>
          <w:color w:val="000000"/>
          <w:sz w:val="24"/>
          <w:szCs w:val="24"/>
          <w:lang w:eastAsia="pt-BR"/>
        </w:rPr>
        <w:t>,</w:t>
      </w:r>
      <w:r w:rsidRPr="00A23CFE">
        <w:rPr>
          <w:rFonts w:ascii="Times New Roman" w:eastAsia="Times New Roman" w:hAnsi="Times New Roman" w:cs="Times New Roman"/>
          <w:color w:val="000000"/>
          <w:sz w:val="24"/>
          <w:szCs w:val="24"/>
          <w:lang w:eastAsia="pt-BR"/>
        </w:rPr>
        <w:t xml:space="preserve"> e a Estratégia Global de </w:t>
      </w:r>
      <w:r w:rsidRPr="000E2712">
        <w:rPr>
          <w:rFonts w:ascii="Times New Roman" w:eastAsia="Times New Roman" w:hAnsi="Times New Roman" w:cs="Times New Roman"/>
          <w:color w:val="000000"/>
          <w:sz w:val="24"/>
          <w:szCs w:val="24"/>
          <w:lang w:eastAsia="pt-BR"/>
        </w:rPr>
        <w:t>Auditoria (id.</w:t>
      </w:r>
      <w:r w:rsidR="000E2712" w:rsidRPr="000E2712">
        <w:rPr>
          <w:rFonts w:ascii="Times New Roman" w:hAnsi="Times New Roman" w:cs="Times New Roman"/>
          <w:sz w:val="24"/>
          <w:szCs w:val="24"/>
        </w:rPr>
        <w:t xml:space="preserve"> 1337276</w:t>
      </w:r>
      <w:r w:rsidRPr="000E2712">
        <w:rPr>
          <w:rFonts w:ascii="Times New Roman" w:eastAsia="Times New Roman" w:hAnsi="Times New Roman" w:cs="Times New Roman"/>
          <w:color w:val="000000"/>
          <w:sz w:val="24"/>
          <w:szCs w:val="24"/>
          <w:lang w:eastAsia="pt-BR"/>
        </w:rPr>
        <w:t xml:space="preserve">). </w:t>
      </w:r>
      <w:r w:rsidR="00B4253D" w:rsidRPr="000E2712">
        <w:rPr>
          <w:rFonts w:ascii="Times New Roman" w:eastAsia="Times New Roman" w:hAnsi="Times New Roman" w:cs="Times New Roman"/>
          <w:color w:val="000000"/>
          <w:sz w:val="24"/>
          <w:szCs w:val="24"/>
          <w:lang w:eastAsia="pt-BR"/>
        </w:rPr>
        <w:t>Segundo</w:t>
      </w:r>
      <w:r w:rsidRPr="000E2712">
        <w:rPr>
          <w:rFonts w:ascii="Times New Roman" w:eastAsia="Times New Roman" w:hAnsi="Times New Roman" w:cs="Times New Roman"/>
          <w:color w:val="000000"/>
          <w:sz w:val="24"/>
          <w:szCs w:val="24"/>
          <w:lang w:eastAsia="pt-BR"/>
        </w:rPr>
        <w:t xml:space="preserve"> exigido pelas normas de auditoria </w:t>
      </w:r>
      <w:r w:rsidR="00C40C57" w:rsidRPr="000E2712">
        <w:rPr>
          <w:rFonts w:ascii="Times New Roman" w:hAnsi="Times New Roman" w:cs="Times New Roman"/>
          <w:color w:val="000000"/>
          <w:sz w:val="24"/>
          <w:szCs w:val="24"/>
        </w:rPr>
        <w:t>(NAT, 52; ISA/</w:t>
      </w:r>
      <w:hyperlink r:id="rId25" w:tgtFrame="_blank" w:history="1">
        <w:r w:rsidR="00C40C57" w:rsidRPr="000E2712">
          <w:rPr>
            <w:rStyle w:val="Hyperlink"/>
            <w:rFonts w:ascii="Times New Roman" w:hAnsi="Times New Roman" w:cs="Times New Roman"/>
            <w:sz w:val="24"/>
            <w:szCs w:val="24"/>
          </w:rPr>
          <w:t>NBC TA 220</w:t>
        </w:r>
      </w:hyperlink>
      <w:r w:rsidR="00C40C57" w:rsidRPr="000E2712">
        <w:rPr>
          <w:rFonts w:ascii="Times New Roman" w:hAnsi="Times New Roman" w:cs="Times New Roman"/>
          <w:color w:val="000000"/>
          <w:sz w:val="24"/>
          <w:szCs w:val="24"/>
        </w:rPr>
        <w:t>, 14; ISS</w:t>
      </w:r>
      <w:r w:rsidR="00C40C57" w:rsidRPr="00C40C57">
        <w:rPr>
          <w:rFonts w:ascii="Times New Roman" w:hAnsi="Times New Roman" w:cs="Times New Roman"/>
          <w:color w:val="000000"/>
          <w:sz w:val="24"/>
          <w:szCs w:val="24"/>
        </w:rPr>
        <w:t>AI 2220, 14)</w:t>
      </w:r>
      <w:r w:rsidRPr="00C40C57">
        <w:rPr>
          <w:rFonts w:ascii="Times New Roman" w:eastAsia="Times New Roman" w:hAnsi="Times New Roman" w:cs="Times New Roman"/>
          <w:color w:val="000000"/>
          <w:sz w:val="24"/>
          <w:szCs w:val="24"/>
          <w:lang w:eastAsia="pt-BR"/>
        </w:rPr>
        <w:t>,</w:t>
      </w:r>
      <w:r w:rsidRPr="00A23CFE">
        <w:rPr>
          <w:rFonts w:ascii="Times New Roman" w:eastAsia="Times New Roman" w:hAnsi="Times New Roman" w:cs="Times New Roman"/>
          <w:color w:val="000000"/>
          <w:sz w:val="24"/>
          <w:szCs w:val="24"/>
          <w:lang w:eastAsia="pt-BR"/>
        </w:rPr>
        <w:t xml:space="preserve"> a equipe de trabalho possui coletivamente a</w:t>
      </w:r>
      <w:r w:rsidR="00730158">
        <w:rPr>
          <w:rFonts w:ascii="Times New Roman" w:eastAsia="Times New Roman" w:hAnsi="Times New Roman" w:cs="Times New Roman"/>
          <w:color w:val="000000"/>
          <w:sz w:val="24"/>
          <w:szCs w:val="24"/>
          <w:lang w:eastAsia="pt-BR"/>
        </w:rPr>
        <w:t>s</w:t>
      </w:r>
      <w:r w:rsidRPr="00A23CFE">
        <w:rPr>
          <w:rFonts w:ascii="Times New Roman" w:eastAsia="Times New Roman" w:hAnsi="Times New Roman" w:cs="Times New Roman"/>
          <w:color w:val="000000"/>
          <w:sz w:val="24"/>
          <w:szCs w:val="24"/>
          <w:lang w:eastAsia="pt-BR"/>
        </w:rPr>
        <w:t xml:space="preserve"> competência</w:t>
      </w:r>
      <w:r w:rsidR="00730158">
        <w:rPr>
          <w:rFonts w:ascii="Times New Roman" w:eastAsia="Times New Roman" w:hAnsi="Times New Roman" w:cs="Times New Roman"/>
          <w:color w:val="000000"/>
          <w:sz w:val="24"/>
          <w:szCs w:val="24"/>
          <w:lang w:eastAsia="pt-BR"/>
        </w:rPr>
        <w:t>s</w:t>
      </w:r>
      <w:r w:rsidRPr="00A23CFE">
        <w:rPr>
          <w:rFonts w:ascii="Times New Roman" w:eastAsia="Times New Roman" w:hAnsi="Times New Roman" w:cs="Times New Roman"/>
          <w:color w:val="000000"/>
          <w:sz w:val="24"/>
          <w:szCs w:val="24"/>
          <w:lang w:eastAsia="pt-BR"/>
        </w:rPr>
        <w:t xml:space="preserve"> e as habilidades necessárias, conforme </w:t>
      </w:r>
      <w:r w:rsidR="00B712F4" w:rsidRPr="00A23CFE">
        <w:rPr>
          <w:rFonts w:ascii="Times New Roman" w:eastAsia="Times New Roman" w:hAnsi="Times New Roman" w:cs="Times New Roman"/>
          <w:color w:val="000000"/>
          <w:sz w:val="24"/>
          <w:szCs w:val="24"/>
          <w:lang w:eastAsia="pt-BR"/>
        </w:rPr>
        <w:t xml:space="preserve">demonstrado no </w:t>
      </w:r>
      <w:r w:rsidRPr="00A23CFE">
        <w:rPr>
          <w:rFonts w:ascii="Times New Roman" w:eastAsia="Times New Roman" w:hAnsi="Times New Roman" w:cs="Times New Roman"/>
          <w:color w:val="000000"/>
          <w:sz w:val="24"/>
          <w:szCs w:val="24"/>
          <w:lang w:eastAsia="pt-BR"/>
        </w:rPr>
        <w:t>papel de trabalho P220.1 - Matriz de Competências da Equipe de Auditoria (</w:t>
      </w:r>
      <w:r w:rsidR="001B23FC">
        <w:rPr>
          <w:rFonts w:ascii="Times New Roman" w:eastAsia="Times New Roman" w:hAnsi="Times New Roman" w:cs="Times New Roman"/>
          <w:color w:val="000000"/>
          <w:sz w:val="24"/>
          <w:szCs w:val="24"/>
          <w:lang w:eastAsia="pt-BR"/>
        </w:rPr>
        <w:t>id.</w:t>
      </w:r>
      <w:r w:rsidR="000E2712">
        <w:t xml:space="preserve"> </w:t>
      </w:r>
      <w:r w:rsidR="000E2712" w:rsidRPr="000E2712">
        <w:rPr>
          <w:rFonts w:ascii="Times New Roman" w:eastAsia="Times New Roman" w:hAnsi="Times New Roman" w:cs="Times New Roman"/>
          <w:color w:val="000000"/>
          <w:sz w:val="24"/>
          <w:szCs w:val="24"/>
          <w:lang w:eastAsia="pt-BR"/>
        </w:rPr>
        <w:t>1337271</w:t>
      </w:r>
      <w:r w:rsidRPr="00A23CFE">
        <w:rPr>
          <w:rFonts w:ascii="Times New Roman" w:eastAsia="Times New Roman" w:hAnsi="Times New Roman" w:cs="Times New Roman"/>
          <w:color w:val="000000"/>
          <w:sz w:val="24"/>
          <w:szCs w:val="24"/>
          <w:lang w:eastAsia="pt-BR"/>
        </w:rPr>
        <w:t>). A opinião sobre as demonstrações expressa no Certificado de Auditoria levou em consideração as conclusões registradas na Formação de Opinião (id</w:t>
      </w:r>
      <w:r w:rsidRPr="007465B5">
        <w:rPr>
          <w:rFonts w:ascii="Times New Roman" w:eastAsia="Times New Roman" w:hAnsi="Times New Roman" w:cs="Times New Roman"/>
          <w:color w:val="000000"/>
          <w:sz w:val="24"/>
          <w:szCs w:val="24"/>
          <w:lang w:eastAsia="pt-BR"/>
        </w:rPr>
        <w:t>.</w:t>
      </w:r>
      <w:r w:rsidR="007465B5" w:rsidRPr="007465B5">
        <w:rPr>
          <w:rFonts w:ascii="Times New Roman" w:hAnsi="Times New Roman" w:cs="Times New Roman"/>
          <w:sz w:val="24"/>
          <w:szCs w:val="24"/>
        </w:rPr>
        <w:t xml:space="preserve"> 1337284</w:t>
      </w:r>
      <w:r w:rsidRPr="00934CD9">
        <w:rPr>
          <w:rFonts w:ascii="Times New Roman" w:eastAsia="Times New Roman" w:hAnsi="Times New Roman" w:cs="Times New Roman"/>
          <w:color w:val="000000"/>
          <w:sz w:val="24"/>
          <w:szCs w:val="24"/>
          <w:lang w:eastAsia="pt-BR"/>
        </w:rPr>
        <w:t>).</w:t>
      </w:r>
    </w:p>
    <w:p w14:paraId="49ED125A" w14:textId="77777777" w:rsidR="002A4AA2" w:rsidRDefault="002A4AA2" w:rsidP="00747F11">
      <w:pPr>
        <w:ind w:right="119" w:firstLine="0"/>
        <w:jc w:val="both"/>
        <w:rPr>
          <w:rFonts w:ascii="Times New Roman" w:eastAsia="Times New Roman" w:hAnsi="Times New Roman" w:cs="Times New Roman"/>
          <w:sz w:val="24"/>
          <w:szCs w:val="24"/>
          <w:lang w:eastAsia="pt-BR"/>
        </w:rPr>
      </w:pPr>
    </w:p>
    <w:p w14:paraId="26E5D0E0" w14:textId="77777777" w:rsidR="00A61C3A" w:rsidRPr="00B77E14" w:rsidRDefault="00A61C3A" w:rsidP="004B1E97">
      <w:pPr>
        <w:spacing w:before="240"/>
        <w:ind w:right="120" w:firstLine="0"/>
        <w:jc w:val="both"/>
        <w:rPr>
          <w:rFonts w:ascii="Times New Roman" w:eastAsia="Times New Roman" w:hAnsi="Times New Roman" w:cs="Times New Roman"/>
          <w:sz w:val="24"/>
          <w:szCs w:val="24"/>
          <w:lang w:eastAsia="pt-BR"/>
        </w:rPr>
      </w:pPr>
      <w:r w:rsidRPr="00B77E14">
        <w:rPr>
          <w:rFonts w:ascii="Times New Roman" w:eastAsia="Times New Roman" w:hAnsi="Times New Roman" w:cs="Times New Roman"/>
          <w:b/>
          <w:bCs/>
          <w:sz w:val="24"/>
          <w:szCs w:val="24"/>
          <w:lang w:eastAsia="pt-BR"/>
        </w:rPr>
        <w:t>2.4.2</w:t>
      </w:r>
      <w:r w:rsidR="00C40E28" w:rsidRPr="00B77E14">
        <w:rPr>
          <w:rFonts w:ascii="Times New Roman" w:eastAsia="Times New Roman" w:hAnsi="Times New Roman" w:cs="Times New Roman"/>
          <w:b/>
          <w:bCs/>
          <w:sz w:val="24"/>
          <w:szCs w:val="24"/>
          <w:lang w:eastAsia="pt-BR"/>
        </w:rPr>
        <w:t>.</w:t>
      </w:r>
      <w:r w:rsidRPr="00B77E14">
        <w:rPr>
          <w:rFonts w:ascii="Times New Roman" w:eastAsia="Times New Roman" w:hAnsi="Times New Roman" w:cs="Times New Roman"/>
          <w:b/>
          <w:bCs/>
          <w:sz w:val="24"/>
          <w:szCs w:val="24"/>
          <w:lang w:eastAsia="pt-BR"/>
        </w:rPr>
        <w:t xml:space="preserve"> Limitações inerentes à auditoria</w:t>
      </w:r>
    </w:p>
    <w:p w14:paraId="598AF478" w14:textId="77777777" w:rsidR="00A61C3A" w:rsidRPr="002A4AA2" w:rsidRDefault="00A61C3A" w:rsidP="00747F11">
      <w:pPr>
        <w:spacing w:before="240"/>
        <w:ind w:right="120" w:firstLine="708"/>
        <w:jc w:val="both"/>
        <w:rPr>
          <w:rFonts w:ascii="Times New Roman" w:eastAsia="Times New Roman" w:hAnsi="Times New Roman" w:cs="Times New Roman"/>
          <w:sz w:val="24"/>
          <w:szCs w:val="24"/>
          <w:lang w:eastAsia="pt-BR"/>
        </w:rPr>
      </w:pPr>
      <w:r w:rsidRPr="002A4AA2">
        <w:rPr>
          <w:rFonts w:ascii="Times New Roman" w:eastAsia="Times New Roman" w:hAnsi="Times New Roman" w:cs="Times New Roman"/>
          <w:color w:val="000000"/>
          <w:sz w:val="24"/>
          <w:szCs w:val="24"/>
          <w:lang w:eastAsia="pt-BR"/>
        </w:rPr>
        <w:t>Em decorrência das limitações inerentes a uma auditoria, juntamente com as limitações inerentes ao controle interno, há um risco inevitável de que algumas distorções relevantes não tenham sido detectadas, mesmo que o trabalho tenha sido adequadamente planejado e executado de acordo com as normas de auditoria mencionadas. Entre essas limitações destacam-se:</w:t>
      </w:r>
    </w:p>
    <w:p w14:paraId="42D18A4B" w14:textId="77777777" w:rsidR="001F5727" w:rsidRPr="004B603D" w:rsidRDefault="00A61C3A" w:rsidP="004B1E9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4B603D">
        <w:rPr>
          <w:rFonts w:ascii="Times New Roman" w:eastAsia="Times New Roman" w:hAnsi="Times New Roman" w:cs="Times New Roman"/>
          <w:color w:val="000000"/>
          <w:sz w:val="24"/>
          <w:szCs w:val="24"/>
          <w:lang w:eastAsia="pt-BR"/>
        </w:rPr>
        <w:t xml:space="preserve">conhecimento técnico específico </w:t>
      </w:r>
      <w:r w:rsidR="00685EC0" w:rsidRPr="004B603D">
        <w:rPr>
          <w:rFonts w:ascii="Times New Roman" w:eastAsia="Times New Roman" w:hAnsi="Times New Roman" w:cs="Times New Roman"/>
          <w:color w:val="000000"/>
          <w:sz w:val="24"/>
          <w:szCs w:val="24"/>
          <w:lang w:eastAsia="pt-BR"/>
        </w:rPr>
        <w:t xml:space="preserve">ainda parcial </w:t>
      </w:r>
      <w:r w:rsidRPr="004B603D">
        <w:rPr>
          <w:rFonts w:ascii="Times New Roman" w:eastAsia="Times New Roman" w:hAnsi="Times New Roman" w:cs="Times New Roman"/>
          <w:color w:val="000000"/>
          <w:sz w:val="24"/>
          <w:szCs w:val="24"/>
          <w:lang w:eastAsia="pt-BR"/>
        </w:rPr>
        <w:t xml:space="preserve">da equipe de auditoria no que se refere </w:t>
      </w:r>
      <w:r w:rsidR="001F5727" w:rsidRPr="004B603D">
        <w:rPr>
          <w:rFonts w:ascii="Times New Roman" w:eastAsia="Times New Roman" w:hAnsi="Times New Roman" w:cs="Times New Roman"/>
          <w:color w:val="000000"/>
          <w:sz w:val="24"/>
          <w:szCs w:val="24"/>
          <w:lang w:eastAsia="pt-BR"/>
        </w:rPr>
        <w:t>à gestão de p</w:t>
      </w:r>
      <w:r w:rsidR="0099513B" w:rsidRPr="004B603D">
        <w:rPr>
          <w:rFonts w:ascii="Times New Roman" w:eastAsia="Times New Roman" w:hAnsi="Times New Roman" w:cs="Times New Roman"/>
          <w:color w:val="000000"/>
          <w:sz w:val="24"/>
          <w:szCs w:val="24"/>
          <w:lang w:eastAsia="pt-BR"/>
        </w:rPr>
        <w:t>recatórios e RPVs;</w:t>
      </w:r>
    </w:p>
    <w:p w14:paraId="7BB32BE5" w14:textId="23D263AD" w:rsidR="003D36C3" w:rsidRDefault="002723AC" w:rsidP="004B1E9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6134FA">
        <w:rPr>
          <w:rFonts w:ascii="Times New Roman" w:eastAsia="Times New Roman" w:hAnsi="Times New Roman" w:cs="Times New Roman"/>
          <w:color w:val="000000"/>
          <w:sz w:val="24"/>
          <w:szCs w:val="24"/>
          <w:lang w:eastAsia="pt-BR"/>
        </w:rPr>
        <w:t>n</w:t>
      </w:r>
      <w:r w:rsidR="00685EC0" w:rsidRPr="006134FA">
        <w:rPr>
          <w:rFonts w:ascii="Times New Roman" w:eastAsia="Times New Roman" w:hAnsi="Times New Roman" w:cs="Times New Roman"/>
          <w:color w:val="000000"/>
          <w:sz w:val="24"/>
          <w:szCs w:val="24"/>
          <w:lang w:eastAsia="pt-BR"/>
        </w:rPr>
        <w:t>ecessidade de mais</w:t>
      </w:r>
      <w:r w:rsidR="5551D1CE" w:rsidRPr="006134FA">
        <w:rPr>
          <w:rFonts w:ascii="Times New Roman" w:eastAsia="Times New Roman" w:hAnsi="Times New Roman" w:cs="Times New Roman"/>
          <w:color w:val="000000"/>
          <w:sz w:val="24"/>
          <w:szCs w:val="24"/>
          <w:lang w:eastAsia="pt-BR"/>
        </w:rPr>
        <w:t xml:space="preserve"> servidores com formação acadêmica na área contábil</w:t>
      </w:r>
      <w:r w:rsidR="00073935">
        <w:rPr>
          <w:rFonts w:ascii="Times New Roman" w:eastAsia="Times New Roman" w:hAnsi="Times New Roman" w:cs="Times New Roman"/>
          <w:color w:val="000000"/>
          <w:sz w:val="24"/>
          <w:szCs w:val="24"/>
          <w:lang w:eastAsia="pt-BR"/>
        </w:rPr>
        <w:t xml:space="preserve"> da</w:t>
      </w:r>
      <w:r w:rsidR="5551D1CE" w:rsidRPr="006134FA">
        <w:rPr>
          <w:rFonts w:ascii="Times New Roman" w:eastAsia="Times New Roman" w:hAnsi="Times New Roman" w:cs="Times New Roman"/>
          <w:color w:val="000000"/>
          <w:sz w:val="24"/>
          <w:szCs w:val="24"/>
          <w:lang w:eastAsia="pt-BR"/>
        </w:rPr>
        <w:t xml:space="preserve"> Secretaria de </w:t>
      </w:r>
      <w:r w:rsidR="3C682601" w:rsidRPr="006134FA">
        <w:rPr>
          <w:rFonts w:ascii="Times New Roman" w:eastAsia="Times New Roman" w:hAnsi="Times New Roman" w:cs="Times New Roman"/>
          <w:color w:val="000000"/>
          <w:sz w:val="24"/>
          <w:szCs w:val="24"/>
          <w:lang w:eastAsia="pt-BR"/>
        </w:rPr>
        <w:t>A</w:t>
      </w:r>
      <w:r w:rsidR="5551D1CE" w:rsidRPr="006134FA">
        <w:rPr>
          <w:rFonts w:ascii="Times New Roman" w:eastAsia="Times New Roman" w:hAnsi="Times New Roman" w:cs="Times New Roman"/>
          <w:color w:val="000000"/>
          <w:sz w:val="24"/>
          <w:szCs w:val="24"/>
          <w:lang w:eastAsia="pt-BR"/>
        </w:rPr>
        <w:t xml:space="preserve">uditoria </w:t>
      </w:r>
      <w:r w:rsidR="1C8AE01C" w:rsidRPr="006134FA">
        <w:rPr>
          <w:rFonts w:ascii="Times New Roman" w:eastAsia="Times New Roman" w:hAnsi="Times New Roman" w:cs="Times New Roman"/>
          <w:color w:val="000000"/>
          <w:sz w:val="24"/>
          <w:szCs w:val="24"/>
          <w:lang w:eastAsia="pt-BR"/>
        </w:rPr>
        <w:t xml:space="preserve">Interna </w:t>
      </w:r>
      <w:r w:rsidR="5551D1CE" w:rsidRPr="006134FA">
        <w:rPr>
          <w:rFonts w:ascii="Times New Roman" w:eastAsia="Times New Roman" w:hAnsi="Times New Roman" w:cs="Times New Roman"/>
          <w:color w:val="000000"/>
          <w:sz w:val="24"/>
          <w:szCs w:val="24"/>
          <w:lang w:eastAsia="pt-BR"/>
        </w:rPr>
        <w:t xml:space="preserve">do TRF6, </w:t>
      </w:r>
      <w:r w:rsidR="00685EC0" w:rsidRPr="006134FA">
        <w:rPr>
          <w:rFonts w:ascii="Times New Roman" w:eastAsia="Times New Roman" w:hAnsi="Times New Roman" w:cs="Times New Roman"/>
          <w:color w:val="000000"/>
          <w:sz w:val="24"/>
          <w:szCs w:val="24"/>
          <w:lang w:eastAsia="pt-BR"/>
        </w:rPr>
        <w:t>de forma a aprimorar</w:t>
      </w:r>
      <w:r w:rsidR="5551D1CE" w:rsidRPr="006134FA">
        <w:rPr>
          <w:rFonts w:ascii="Times New Roman" w:eastAsia="Times New Roman" w:hAnsi="Times New Roman" w:cs="Times New Roman"/>
          <w:color w:val="000000"/>
          <w:sz w:val="24"/>
          <w:szCs w:val="24"/>
          <w:lang w:eastAsia="pt-BR"/>
        </w:rPr>
        <w:t xml:space="preserve"> o desempenho da auditoria de contas, em consonância com a </w:t>
      </w:r>
      <w:bookmarkStart w:id="5" w:name="_Toc67064357"/>
      <w:r w:rsidR="001C182D">
        <w:fldChar w:fldCharType="begin"/>
      </w:r>
      <w:r w:rsidR="001C182D">
        <w:instrText xml:space="preserve"> HYPERLINK "https://www.in.gov.br/en/web/dou/-/instrucao-normativa-n-84-de-22-de-abril-de-2020-254756795" \t "_blank" </w:instrText>
      </w:r>
      <w:r w:rsidR="001C182D">
        <w:fldChar w:fldCharType="separate"/>
      </w:r>
      <w:r w:rsidR="001C182D" w:rsidRPr="00B02DE4">
        <w:rPr>
          <w:rFonts w:ascii="Times New Roman" w:eastAsia="Times New Roman" w:hAnsi="Times New Roman" w:cs="Times New Roman"/>
          <w:color w:val="0000FF"/>
          <w:sz w:val="24"/>
          <w:szCs w:val="24"/>
          <w:u w:val="single"/>
          <w:lang w:eastAsia="pt-BR"/>
        </w:rPr>
        <w:t>Instrução Normativa TCU 84, de 22 de abril de 2020</w:t>
      </w:r>
      <w:r w:rsidR="001C182D">
        <w:rPr>
          <w:rFonts w:ascii="Times New Roman" w:eastAsia="Times New Roman" w:hAnsi="Times New Roman" w:cs="Times New Roman"/>
          <w:color w:val="0000FF"/>
          <w:sz w:val="24"/>
          <w:szCs w:val="24"/>
          <w:u w:val="single"/>
          <w:lang w:eastAsia="pt-BR"/>
        </w:rPr>
        <w:fldChar w:fldCharType="end"/>
      </w:r>
      <w:r w:rsidR="00802EB1" w:rsidRPr="006134FA">
        <w:rPr>
          <w:rFonts w:ascii="Times New Roman" w:eastAsia="Times New Roman" w:hAnsi="Times New Roman" w:cs="Times New Roman"/>
          <w:color w:val="000000"/>
          <w:sz w:val="24"/>
          <w:szCs w:val="24"/>
          <w:lang w:eastAsia="pt-BR"/>
        </w:rPr>
        <w:t>;</w:t>
      </w:r>
    </w:p>
    <w:p w14:paraId="23A7E96D" w14:textId="342B2A90" w:rsidR="00802EB1" w:rsidRPr="000A0127" w:rsidRDefault="003D36C3" w:rsidP="004B1E9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 xml:space="preserve">necessidade de </w:t>
      </w:r>
      <w:r w:rsidRPr="003D36C3">
        <w:rPr>
          <w:rFonts w:ascii="Times New Roman" w:hAnsi="Times New Roman" w:cs="Times New Roman"/>
          <w:sz w:val="24"/>
          <w:szCs w:val="24"/>
        </w:rPr>
        <w:t xml:space="preserve">aprimoramento </w:t>
      </w:r>
      <w:r>
        <w:rPr>
          <w:rFonts w:ascii="Times New Roman" w:hAnsi="Times New Roman" w:cs="Times New Roman"/>
          <w:sz w:val="24"/>
          <w:szCs w:val="24"/>
        </w:rPr>
        <w:t>dos</w:t>
      </w:r>
      <w:r w:rsidRPr="003D36C3">
        <w:rPr>
          <w:rFonts w:ascii="Times New Roman" w:hAnsi="Times New Roman" w:cs="Times New Roman"/>
          <w:sz w:val="24"/>
          <w:szCs w:val="24"/>
        </w:rPr>
        <w:t xml:space="preserve"> processo</w:t>
      </w:r>
      <w:r w:rsidR="000702E5">
        <w:rPr>
          <w:rFonts w:ascii="Times New Roman" w:hAnsi="Times New Roman" w:cs="Times New Roman"/>
          <w:sz w:val="24"/>
          <w:szCs w:val="24"/>
        </w:rPr>
        <w:t>s</w:t>
      </w:r>
      <w:r w:rsidRPr="003D36C3">
        <w:rPr>
          <w:rFonts w:ascii="Times New Roman" w:hAnsi="Times New Roman" w:cs="Times New Roman"/>
          <w:sz w:val="24"/>
          <w:szCs w:val="24"/>
        </w:rPr>
        <w:t xml:space="preserve"> de tr</w:t>
      </w:r>
      <w:r w:rsidR="00D96764">
        <w:rPr>
          <w:rFonts w:ascii="Times New Roman" w:hAnsi="Times New Roman" w:cs="Times New Roman"/>
          <w:sz w:val="24"/>
          <w:szCs w:val="24"/>
        </w:rPr>
        <w:t xml:space="preserve">abalho para se atingir </w:t>
      </w:r>
      <w:r w:rsidRPr="003D36C3">
        <w:rPr>
          <w:rFonts w:ascii="Times New Roman" w:hAnsi="Times New Roman" w:cs="Times New Roman"/>
          <w:sz w:val="24"/>
          <w:szCs w:val="24"/>
        </w:rPr>
        <w:t xml:space="preserve">de forma integral as normas e padrões nacionais e internacionais de auditoria de que tratam o § 1º </w:t>
      </w:r>
      <w:r w:rsidRPr="003D36C3">
        <w:rPr>
          <w:rFonts w:ascii="Times New Roman" w:hAnsi="Times New Roman" w:cs="Times New Roman"/>
          <w:sz w:val="24"/>
          <w:szCs w:val="24"/>
        </w:rPr>
        <w:lastRenderedPageBreak/>
        <w:t xml:space="preserve">do art. 13 da </w:t>
      </w:r>
      <w:hyperlink r:id="rId26" w:history="1">
        <w:r w:rsidRPr="003E37C0">
          <w:rPr>
            <w:rStyle w:val="Hyperlink"/>
            <w:rFonts w:ascii="Times New Roman" w:hAnsi="Times New Roman" w:cs="Times New Roman"/>
            <w:sz w:val="24"/>
            <w:szCs w:val="24"/>
          </w:rPr>
          <w:t>IN-TCU n° 84, de 2020</w:t>
        </w:r>
      </w:hyperlink>
      <w:r w:rsidR="006E4A77">
        <w:rPr>
          <w:rFonts w:ascii="Times New Roman" w:hAnsi="Times New Roman" w:cs="Times New Roman"/>
          <w:sz w:val="24"/>
          <w:szCs w:val="24"/>
        </w:rPr>
        <w:t xml:space="preserve"> e </w:t>
      </w:r>
      <w:r w:rsidR="00D96764">
        <w:rPr>
          <w:rFonts w:ascii="Times New Roman" w:hAnsi="Times New Roman" w:cs="Times New Roman"/>
          <w:sz w:val="24"/>
          <w:szCs w:val="24"/>
        </w:rPr>
        <w:t xml:space="preserve">o art. 11 </w:t>
      </w:r>
      <w:r w:rsidR="00D96764" w:rsidRPr="000A0127">
        <w:rPr>
          <w:rFonts w:ascii="Times New Roman" w:hAnsi="Times New Roman" w:cs="Times New Roman"/>
          <w:sz w:val="24"/>
          <w:szCs w:val="24"/>
        </w:rPr>
        <w:t xml:space="preserve">da </w:t>
      </w:r>
      <w:hyperlink r:id="rId27" w:tgtFrame="_blank" w:history="1">
        <w:r w:rsidR="000A0127" w:rsidRPr="000A0127">
          <w:rPr>
            <w:rStyle w:val="Hyperlink"/>
            <w:rFonts w:ascii="Times New Roman" w:hAnsi="Times New Roman" w:cs="Times New Roman"/>
            <w:sz w:val="24"/>
            <w:szCs w:val="24"/>
          </w:rPr>
          <w:t>Decisão Normativa TCU nº 198/2022</w:t>
        </w:r>
      </w:hyperlink>
      <w:r w:rsidR="00DF26A5" w:rsidRPr="000A0127">
        <w:rPr>
          <w:rFonts w:ascii="Times New Roman" w:hAnsi="Times New Roman" w:cs="Times New Roman"/>
          <w:sz w:val="24"/>
          <w:szCs w:val="24"/>
        </w:rPr>
        <w:t>, tendo em vista a avaliação por pares</w:t>
      </w:r>
      <w:r w:rsidR="00D96764" w:rsidRPr="000A0127">
        <w:rPr>
          <w:rFonts w:ascii="Times New Roman" w:hAnsi="Times New Roman" w:cs="Times New Roman"/>
          <w:sz w:val="24"/>
          <w:szCs w:val="24"/>
        </w:rPr>
        <w:t>;</w:t>
      </w:r>
    </w:p>
    <w:p w14:paraId="7BB2D089" w14:textId="313AAE47" w:rsidR="00802EB1" w:rsidRDefault="000E3364" w:rsidP="004B1E9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0A0127">
        <w:rPr>
          <w:rFonts w:ascii="Times New Roman" w:eastAsia="Times New Roman" w:hAnsi="Times New Roman" w:cs="Times New Roman"/>
          <w:color w:val="000000"/>
          <w:sz w:val="24"/>
          <w:szCs w:val="24"/>
          <w:lang w:eastAsia="pt-BR"/>
        </w:rPr>
        <w:t>e</w:t>
      </w:r>
      <w:r w:rsidR="00802EB1" w:rsidRPr="000A0127">
        <w:rPr>
          <w:rFonts w:ascii="Times New Roman" w:eastAsia="Times New Roman" w:hAnsi="Times New Roman" w:cs="Times New Roman"/>
          <w:color w:val="000000"/>
          <w:sz w:val="24"/>
          <w:szCs w:val="24"/>
          <w:lang w:eastAsia="pt-BR"/>
        </w:rPr>
        <w:t>scassez de tempo para a execução de todos os</w:t>
      </w:r>
      <w:r w:rsidR="00802EB1" w:rsidRPr="006134FA">
        <w:rPr>
          <w:rFonts w:ascii="Times New Roman" w:eastAsia="Times New Roman" w:hAnsi="Times New Roman" w:cs="Times New Roman"/>
          <w:color w:val="000000"/>
          <w:sz w:val="24"/>
          <w:szCs w:val="24"/>
          <w:lang w:eastAsia="pt-BR"/>
        </w:rPr>
        <w:t xml:space="preserve"> procedimentos de auditoria, em especial a realização dos testes de detalhe, considerando-se o reduzido q</w:t>
      </w:r>
      <w:r w:rsidR="00040AEE">
        <w:rPr>
          <w:rFonts w:ascii="Times New Roman" w:eastAsia="Times New Roman" w:hAnsi="Times New Roman" w:cs="Times New Roman"/>
          <w:color w:val="000000"/>
          <w:sz w:val="24"/>
          <w:szCs w:val="24"/>
          <w:lang w:eastAsia="pt-BR"/>
        </w:rPr>
        <w:t>ua</w:t>
      </w:r>
      <w:r w:rsidR="001B21B6">
        <w:rPr>
          <w:rFonts w:ascii="Times New Roman" w:eastAsia="Times New Roman" w:hAnsi="Times New Roman" w:cs="Times New Roman"/>
          <w:color w:val="000000"/>
          <w:sz w:val="24"/>
          <w:szCs w:val="24"/>
          <w:lang w:eastAsia="pt-BR"/>
        </w:rPr>
        <w:t>dro de servidores disponíveis;</w:t>
      </w:r>
    </w:p>
    <w:p w14:paraId="15F72516" w14:textId="333CA10D" w:rsidR="00040AEE" w:rsidRDefault="00040AEE" w:rsidP="004B1E9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A31EBF">
        <w:rPr>
          <w:rFonts w:ascii="Times New Roman" w:eastAsia="Times New Roman" w:hAnsi="Times New Roman" w:cs="Times New Roman"/>
          <w:color w:val="000000"/>
          <w:sz w:val="24"/>
          <w:szCs w:val="24"/>
          <w:lang w:eastAsia="pt-BR"/>
        </w:rPr>
        <w:t xml:space="preserve">necessidade de </w:t>
      </w:r>
      <w:r w:rsidR="007E3CDA">
        <w:rPr>
          <w:rFonts w:ascii="Times New Roman" w:eastAsia="Times New Roman" w:hAnsi="Times New Roman" w:cs="Times New Roman"/>
          <w:color w:val="000000"/>
          <w:sz w:val="24"/>
          <w:szCs w:val="24"/>
          <w:lang w:eastAsia="pt-BR"/>
        </w:rPr>
        <w:t xml:space="preserve">se </w:t>
      </w:r>
      <w:r w:rsidR="005F67C5">
        <w:rPr>
          <w:rFonts w:ascii="Times New Roman" w:eastAsia="Times New Roman" w:hAnsi="Times New Roman" w:cs="Times New Roman"/>
          <w:color w:val="000000"/>
          <w:sz w:val="24"/>
          <w:szCs w:val="24"/>
          <w:lang w:eastAsia="pt-BR"/>
        </w:rPr>
        <w:t>ampliar o número de</w:t>
      </w:r>
      <w:r w:rsidRPr="00A31EBF">
        <w:rPr>
          <w:rFonts w:ascii="Times New Roman" w:eastAsia="Times New Roman" w:hAnsi="Times New Roman" w:cs="Times New Roman"/>
          <w:color w:val="000000"/>
          <w:sz w:val="24"/>
          <w:szCs w:val="24"/>
          <w:lang w:eastAsia="pt-BR"/>
        </w:rPr>
        <w:t xml:space="preserve"> servidores </w:t>
      </w:r>
      <w:r w:rsidR="005F67C5">
        <w:rPr>
          <w:rFonts w:ascii="Times New Roman" w:eastAsia="Times New Roman" w:hAnsi="Times New Roman" w:cs="Times New Roman"/>
          <w:color w:val="000000"/>
          <w:sz w:val="24"/>
          <w:szCs w:val="24"/>
          <w:lang w:eastAsia="pt-BR"/>
        </w:rPr>
        <w:t>integrante d</w:t>
      </w:r>
      <w:r w:rsidRPr="00A31EBF">
        <w:rPr>
          <w:rFonts w:ascii="Times New Roman" w:eastAsia="Times New Roman" w:hAnsi="Times New Roman" w:cs="Times New Roman"/>
          <w:color w:val="000000"/>
          <w:sz w:val="24"/>
          <w:szCs w:val="24"/>
          <w:lang w:eastAsia="pt-BR"/>
        </w:rPr>
        <w:t xml:space="preserve">a equipe que trata de licitações </w:t>
      </w:r>
      <w:r w:rsidR="001B21B6">
        <w:rPr>
          <w:rFonts w:ascii="Times New Roman" w:eastAsia="Times New Roman" w:hAnsi="Times New Roman" w:cs="Times New Roman"/>
          <w:color w:val="000000"/>
          <w:sz w:val="24"/>
          <w:szCs w:val="24"/>
          <w:lang w:eastAsia="pt-BR"/>
        </w:rPr>
        <w:t>e contratos</w:t>
      </w:r>
      <w:r w:rsidR="00340A21">
        <w:rPr>
          <w:rFonts w:ascii="Times New Roman" w:eastAsia="Times New Roman" w:hAnsi="Times New Roman" w:cs="Times New Roman"/>
          <w:color w:val="000000"/>
          <w:sz w:val="24"/>
          <w:szCs w:val="24"/>
          <w:lang w:eastAsia="pt-BR"/>
        </w:rPr>
        <w:t xml:space="preserve">, de forma a ampliar </w:t>
      </w:r>
      <w:r w:rsidR="007E3CDA">
        <w:rPr>
          <w:rFonts w:ascii="Times New Roman" w:eastAsia="Times New Roman" w:hAnsi="Times New Roman" w:cs="Times New Roman"/>
          <w:color w:val="000000"/>
          <w:sz w:val="24"/>
          <w:szCs w:val="24"/>
          <w:lang w:eastAsia="pt-BR"/>
        </w:rPr>
        <w:t xml:space="preserve">as amostras e </w:t>
      </w:r>
      <w:r w:rsidR="00340A21">
        <w:rPr>
          <w:rFonts w:ascii="Times New Roman" w:eastAsia="Times New Roman" w:hAnsi="Times New Roman" w:cs="Times New Roman"/>
          <w:color w:val="000000"/>
          <w:sz w:val="24"/>
          <w:szCs w:val="24"/>
          <w:lang w:eastAsia="pt-BR"/>
        </w:rPr>
        <w:t>o quantitativo de auditorias</w:t>
      </w:r>
      <w:r w:rsidR="00F3119B">
        <w:rPr>
          <w:rFonts w:ascii="Times New Roman" w:eastAsia="Times New Roman" w:hAnsi="Times New Roman" w:cs="Times New Roman"/>
          <w:color w:val="000000"/>
          <w:sz w:val="24"/>
          <w:szCs w:val="24"/>
          <w:lang w:eastAsia="pt-BR"/>
        </w:rPr>
        <w:t xml:space="preserve"> a serem</w:t>
      </w:r>
      <w:r w:rsidR="00340A21">
        <w:rPr>
          <w:rFonts w:ascii="Times New Roman" w:eastAsia="Times New Roman" w:hAnsi="Times New Roman" w:cs="Times New Roman"/>
          <w:color w:val="000000"/>
          <w:sz w:val="24"/>
          <w:szCs w:val="24"/>
          <w:lang w:eastAsia="pt-BR"/>
        </w:rPr>
        <w:t xml:space="preserve"> realizadas</w:t>
      </w:r>
      <w:r w:rsidR="005F67C5">
        <w:rPr>
          <w:rFonts w:ascii="Times New Roman" w:eastAsia="Times New Roman" w:hAnsi="Times New Roman" w:cs="Times New Roman"/>
          <w:color w:val="000000"/>
          <w:sz w:val="24"/>
          <w:szCs w:val="24"/>
          <w:lang w:eastAsia="pt-BR"/>
        </w:rPr>
        <w:t>,</w:t>
      </w:r>
      <w:r w:rsidR="00217D28">
        <w:rPr>
          <w:rFonts w:ascii="Times New Roman" w:eastAsia="Times New Roman" w:hAnsi="Times New Roman" w:cs="Times New Roman"/>
          <w:color w:val="000000"/>
          <w:sz w:val="24"/>
          <w:szCs w:val="24"/>
          <w:lang w:eastAsia="pt-BR"/>
        </w:rPr>
        <w:t xml:space="preserve"> de forma a </w:t>
      </w:r>
      <w:r w:rsidR="00F3119B">
        <w:rPr>
          <w:rFonts w:ascii="Times New Roman" w:eastAsia="Times New Roman" w:hAnsi="Times New Roman" w:cs="Times New Roman"/>
          <w:color w:val="000000"/>
          <w:sz w:val="24"/>
          <w:szCs w:val="24"/>
          <w:lang w:eastAsia="pt-BR"/>
        </w:rPr>
        <w:t>agreg</w:t>
      </w:r>
      <w:r w:rsidR="00217D28">
        <w:rPr>
          <w:rFonts w:ascii="Times New Roman" w:eastAsia="Times New Roman" w:hAnsi="Times New Roman" w:cs="Times New Roman"/>
          <w:color w:val="000000"/>
          <w:sz w:val="24"/>
          <w:szCs w:val="24"/>
          <w:lang w:eastAsia="pt-BR"/>
        </w:rPr>
        <w:t xml:space="preserve">ar </w:t>
      </w:r>
      <w:r w:rsidR="005F67C5">
        <w:rPr>
          <w:rFonts w:ascii="Times New Roman" w:eastAsia="Times New Roman" w:hAnsi="Times New Roman" w:cs="Times New Roman"/>
          <w:color w:val="000000"/>
          <w:sz w:val="24"/>
          <w:szCs w:val="24"/>
          <w:lang w:eastAsia="pt-BR"/>
        </w:rPr>
        <w:t>mais valor ao TRF6;</w:t>
      </w:r>
    </w:p>
    <w:p w14:paraId="2C115776" w14:textId="47998521" w:rsidR="00425682" w:rsidRDefault="00425682" w:rsidP="00B77E14">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Pr="00425682">
        <w:rPr>
          <w:rFonts w:ascii="Times New Roman" w:eastAsia="Times New Roman" w:hAnsi="Times New Roman" w:cs="Times New Roman"/>
          <w:sz w:val="24"/>
          <w:szCs w:val="24"/>
          <w:lang w:eastAsia="pt-BR"/>
        </w:rPr>
        <w:t>estrição de capacidade da equipe de auditoria responsável pela análise das transações subjacentes relativas ao ciclo de pagamento de pessoal, composta por duas servidoras, em razão do afastamento temporário de uma delas por licença à gestante durante a segunda fase dos trabalhos;</w:t>
      </w:r>
      <w:r>
        <w:rPr>
          <w:rFonts w:ascii="Times New Roman" w:eastAsia="Times New Roman" w:hAnsi="Times New Roman" w:cs="Times New Roman"/>
          <w:sz w:val="24"/>
          <w:szCs w:val="24"/>
          <w:lang w:eastAsia="pt-BR"/>
        </w:rPr>
        <w:t xml:space="preserve"> e</w:t>
      </w:r>
    </w:p>
    <w:p w14:paraId="09B0B24D" w14:textId="038E6C5A" w:rsidR="00B77E14" w:rsidRPr="00B77E14" w:rsidRDefault="00425682" w:rsidP="00B77E14">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Pr="00425682">
        <w:rPr>
          <w:rFonts w:ascii="Times New Roman" w:eastAsia="Times New Roman" w:hAnsi="Times New Roman" w:cs="Times New Roman"/>
          <w:sz w:val="24"/>
          <w:szCs w:val="24"/>
          <w:lang w:eastAsia="pt-BR"/>
        </w:rPr>
        <w:t>oncorrência de demandas, uma vez que a equipe de auditoria responsável pela análise das transações subjacentes relativas ao ciclo de pagamento de pessoal, além de reduzida, também responde por outras atividades com prazos definidos, incluindo auditoria concomitante prevista no Plano Anual de Auditoria (PAA)</w:t>
      </w:r>
      <w:r>
        <w:rPr>
          <w:rFonts w:ascii="Times New Roman" w:eastAsia="Times New Roman" w:hAnsi="Times New Roman" w:cs="Times New Roman"/>
          <w:sz w:val="24"/>
          <w:szCs w:val="24"/>
          <w:lang w:eastAsia="pt-BR"/>
        </w:rPr>
        <w:t>.</w:t>
      </w:r>
    </w:p>
    <w:p w14:paraId="5AADE2BA" w14:textId="77777777" w:rsidR="0099513B" w:rsidRPr="000D3178" w:rsidRDefault="0099513B" w:rsidP="000D3178">
      <w:pPr>
        <w:spacing w:before="120"/>
        <w:ind w:right="119" w:firstLine="0"/>
        <w:jc w:val="both"/>
        <w:rPr>
          <w:rFonts w:ascii="Times New Roman" w:eastAsia="Times New Roman" w:hAnsi="Times New Roman" w:cs="Times New Roman"/>
          <w:sz w:val="24"/>
          <w:szCs w:val="24"/>
          <w:lang w:eastAsia="pt-BR"/>
        </w:rPr>
      </w:pPr>
    </w:p>
    <w:p w14:paraId="5BDFE9F6" w14:textId="77777777" w:rsidR="00A61C3A" w:rsidRPr="00E00878" w:rsidRDefault="00A61C3A" w:rsidP="00747F11">
      <w:pPr>
        <w:ind w:right="120" w:firstLine="0"/>
        <w:jc w:val="both"/>
        <w:rPr>
          <w:rFonts w:ascii="Times New Roman" w:eastAsia="Times New Roman" w:hAnsi="Times New Roman" w:cs="Times New Roman"/>
          <w:sz w:val="24"/>
          <w:szCs w:val="24"/>
          <w:lang w:eastAsia="pt-BR"/>
        </w:rPr>
      </w:pPr>
      <w:r w:rsidRPr="00E00878">
        <w:rPr>
          <w:rFonts w:ascii="Times New Roman" w:eastAsia="Times New Roman" w:hAnsi="Times New Roman" w:cs="Times New Roman"/>
          <w:b/>
          <w:bCs/>
          <w:color w:val="000000"/>
          <w:sz w:val="24"/>
          <w:szCs w:val="24"/>
          <w:lang w:eastAsia="pt-BR"/>
        </w:rPr>
        <w:t>2.5</w:t>
      </w:r>
      <w:r w:rsidR="00C40E28">
        <w:rPr>
          <w:rFonts w:ascii="Times New Roman" w:eastAsia="Times New Roman" w:hAnsi="Times New Roman" w:cs="Times New Roman"/>
          <w:b/>
          <w:bCs/>
          <w:color w:val="000000"/>
          <w:sz w:val="24"/>
          <w:szCs w:val="24"/>
          <w:lang w:eastAsia="pt-BR"/>
        </w:rPr>
        <w:t>.</w:t>
      </w:r>
      <w:r w:rsidRPr="00E00878">
        <w:rPr>
          <w:rFonts w:ascii="Times New Roman" w:eastAsia="Times New Roman" w:hAnsi="Times New Roman" w:cs="Times New Roman"/>
          <w:b/>
          <w:bCs/>
          <w:color w:val="000000"/>
          <w:sz w:val="24"/>
          <w:szCs w:val="24"/>
          <w:lang w:eastAsia="pt-BR"/>
        </w:rPr>
        <w:t xml:space="preserve"> Volume de recursos auditados</w:t>
      </w:r>
      <w:bookmarkEnd w:id="5"/>
    </w:p>
    <w:p w14:paraId="35C496F3" w14:textId="557E68FE" w:rsidR="00D00ACA" w:rsidRPr="0075163A" w:rsidRDefault="00A61C3A" w:rsidP="00747F11">
      <w:pPr>
        <w:spacing w:before="240"/>
        <w:ind w:right="120" w:firstLine="708"/>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O volume de recursos auditados sob a ótica orçamentária (natureza da despesa) no t</w:t>
      </w:r>
      <w:r w:rsidR="00CC21DE">
        <w:rPr>
          <w:rFonts w:ascii="Times New Roman" w:eastAsia="Times New Roman" w:hAnsi="Times New Roman" w:cs="Times New Roman"/>
          <w:sz w:val="24"/>
          <w:szCs w:val="24"/>
          <w:lang w:eastAsia="pt-BR"/>
        </w:rPr>
        <w:t xml:space="preserve">ocante às despesas de pessoal, </w:t>
      </w:r>
      <w:r w:rsidRPr="00A61C3A">
        <w:rPr>
          <w:rFonts w:ascii="Times New Roman" w:eastAsia="Times New Roman" w:hAnsi="Times New Roman" w:cs="Times New Roman"/>
          <w:sz w:val="24"/>
          <w:szCs w:val="24"/>
          <w:lang w:eastAsia="pt-BR"/>
        </w:rPr>
        <w:t>contratações</w:t>
      </w:r>
      <w:r w:rsidR="00CC21DE">
        <w:rPr>
          <w:rFonts w:ascii="Times New Roman" w:eastAsia="Times New Roman" w:hAnsi="Times New Roman" w:cs="Times New Roman"/>
          <w:sz w:val="24"/>
          <w:szCs w:val="24"/>
          <w:lang w:eastAsia="pt-BR"/>
        </w:rPr>
        <w:t xml:space="preserve"> e precatórios</w:t>
      </w:r>
      <w:r w:rsidR="00A54CB8">
        <w:rPr>
          <w:rFonts w:ascii="Times New Roman" w:eastAsia="Times New Roman" w:hAnsi="Times New Roman" w:cs="Times New Roman"/>
          <w:sz w:val="24"/>
          <w:szCs w:val="24"/>
          <w:lang w:eastAsia="pt-BR"/>
        </w:rPr>
        <w:t>, relativas ao exercício de 202</w:t>
      </w:r>
      <w:r w:rsidR="00366307">
        <w:rPr>
          <w:rFonts w:ascii="Times New Roman" w:eastAsia="Times New Roman" w:hAnsi="Times New Roman" w:cs="Times New Roman"/>
          <w:sz w:val="24"/>
          <w:szCs w:val="24"/>
          <w:lang w:eastAsia="pt-BR"/>
        </w:rPr>
        <w:t>5</w:t>
      </w:r>
      <w:r w:rsidRPr="00A61C3A">
        <w:rPr>
          <w:rFonts w:ascii="Times New Roman" w:eastAsia="Times New Roman" w:hAnsi="Times New Roman" w:cs="Times New Roman"/>
          <w:sz w:val="24"/>
          <w:szCs w:val="24"/>
          <w:lang w:eastAsia="pt-BR"/>
        </w:rPr>
        <w:t>, alcançou o montante de </w:t>
      </w:r>
      <w:r w:rsidR="00CC21DE">
        <w:rPr>
          <w:rFonts w:ascii="Times New Roman" w:eastAsia="Times New Roman" w:hAnsi="Times New Roman" w:cs="Times New Roman"/>
          <w:b/>
          <w:bCs/>
          <w:sz w:val="24"/>
          <w:szCs w:val="24"/>
          <w:lang w:eastAsia="pt-BR"/>
        </w:rPr>
        <w:t xml:space="preserve">R$ </w:t>
      </w:r>
      <w:r w:rsidR="00296C23">
        <w:rPr>
          <w:rFonts w:ascii="Times New Roman" w:eastAsia="Times New Roman" w:hAnsi="Times New Roman" w:cs="Times New Roman"/>
          <w:b/>
          <w:bCs/>
          <w:sz w:val="24"/>
          <w:szCs w:val="24"/>
          <w:lang w:eastAsia="pt-BR"/>
        </w:rPr>
        <w:t>6.16</w:t>
      </w:r>
      <w:r w:rsidR="0075163A">
        <w:rPr>
          <w:rFonts w:ascii="Times New Roman" w:eastAsia="Times New Roman" w:hAnsi="Times New Roman" w:cs="Times New Roman"/>
          <w:b/>
          <w:bCs/>
          <w:sz w:val="24"/>
          <w:szCs w:val="24"/>
          <w:lang w:eastAsia="pt-BR"/>
        </w:rPr>
        <w:t>9</w:t>
      </w:r>
      <w:r w:rsidR="00296C23">
        <w:rPr>
          <w:rFonts w:ascii="Times New Roman" w:eastAsia="Times New Roman" w:hAnsi="Times New Roman" w:cs="Times New Roman"/>
          <w:b/>
          <w:bCs/>
          <w:sz w:val="24"/>
          <w:szCs w:val="24"/>
          <w:lang w:eastAsia="pt-BR"/>
        </w:rPr>
        <w:t>.</w:t>
      </w:r>
      <w:r w:rsidR="0075163A">
        <w:rPr>
          <w:rFonts w:ascii="Times New Roman" w:eastAsia="Times New Roman" w:hAnsi="Times New Roman" w:cs="Times New Roman"/>
          <w:b/>
          <w:bCs/>
          <w:sz w:val="24"/>
          <w:szCs w:val="24"/>
          <w:lang w:eastAsia="pt-BR"/>
        </w:rPr>
        <w:t>111</w:t>
      </w:r>
      <w:r w:rsidR="00296C23">
        <w:rPr>
          <w:rFonts w:ascii="Times New Roman" w:eastAsia="Times New Roman" w:hAnsi="Times New Roman" w:cs="Times New Roman"/>
          <w:b/>
          <w:bCs/>
          <w:sz w:val="24"/>
          <w:szCs w:val="24"/>
          <w:lang w:eastAsia="pt-BR"/>
        </w:rPr>
        <w:t>.</w:t>
      </w:r>
      <w:r w:rsidR="0075163A">
        <w:rPr>
          <w:rFonts w:ascii="Times New Roman" w:eastAsia="Times New Roman" w:hAnsi="Times New Roman" w:cs="Times New Roman"/>
          <w:b/>
          <w:bCs/>
          <w:sz w:val="24"/>
          <w:szCs w:val="24"/>
          <w:lang w:eastAsia="pt-BR"/>
        </w:rPr>
        <w:t>071</w:t>
      </w:r>
      <w:r w:rsidR="00296C23">
        <w:rPr>
          <w:rFonts w:ascii="Times New Roman" w:eastAsia="Times New Roman" w:hAnsi="Times New Roman" w:cs="Times New Roman"/>
          <w:b/>
          <w:bCs/>
          <w:sz w:val="24"/>
          <w:szCs w:val="24"/>
          <w:lang w:eastAsia="pt-BR"/>
        </w:rPr>
        <w:t>,</w:t>
      </w:r>
      <w:r w:rsidR="0075163A" w:rsidRPr="0075163A">
        <w:rPr>
          <w:rFonts w:ascii="Times New Roman" w:eastAsia="Times New Roman" w:hAnsi="Times New Roman" w:cs="Times New Roman"/>
          <w:b/>
          <w:bCs/>
          <w:sz w:val="24"/>
          <w:szCs w:val="24"/>
          <w:lang w:eastAsia="pt-BR"/>
        </w:rPr>
        <w:t>94</w:t>
      </w:r>
      <w:r w:rsidRPr="0075163A">
        <w:rPr>
          <w:rFonts w:ascii="Times New Roman" w:eastAsia="Times New Roman" w:hAnsi="Times New Roman" w:cs="Times New Roman"/>
          <w:sz w:val="24"/>
          <w:szCs w:val="24"/>
          <w:lang w:eastAsia="pt-BR"/>
        </w:rPr>
        <w:t xml:space="preserve"> </w:t>
      </w:r>
      <w:r w:rsidR="0075163A" w:rsidRPr="0075163A">
        <w:rPr>
          <w:rFonts w:ascii="Times New Roman" w:eastAsia="Times New Roman" w:hAnsi="Times New Roman" w:cs="Times New Roman"/>
          <w:sz w:val="24"/>
          <w:szCs w:val="24"/>
          <w:lang w:eastAsia="pt-BR"/>
        </w:rPr>
        <w:t>(seis bilhões cento e sessenta e nove milhões cento e onze mil</w:t>
      </w:r>
      <w:r w:rsidR="00C34065">
        <w:rPr>
          <w:rFonts w:ascii="Times New Roman" w:eastAsia="Times New Roman" w:hAnsi="Times New Roman" w:cs="Times New Roman"/>
          <w:sz w:val="24"/>
          <w:szCs w:val="24"/>
          <w:lang w:eastAsia="pt-BR"/>
        </w:rPr>
        <w:t xml:space="preserve"> </w:t>
      </w:r>
      <w:r w:rsidR="0075163A" w:rsidRPr="0075163A">
        <w:rPr>
          <w:rFonts w:ascii="Times New Roman" w:eastAsia="Times New Roman" w:hAnsi="Times New Roman" w:cs="Times New Roman"/>
          <w:sz w:val="24"/>
          <w:szCs w:val="24"/>
          <w:lang w:eastAsia="pt-BR"/>
        </w:rPr>
        <w:t>setenta e um reais e noventa e quatro centavos)</w:t>
      </w:r>
      <w:r w:rsidRPr="0075163A">
        <w:rPr>
          <w:rFonts w:ascii="Times New Roman" w:eastAsia="Times New Roman" w:hAnsi="Times New Roman" w:cs="Times New Roman"/>
          <w:sz w:val="24"/>
          <w:szCs w:val="24"/>
          <w:lang w:eastAsia="pt-BR"/>
        </w:rPr>
        <w:t xml:space="preserve">. </w:t>
      </w:r>
    </w:p>
    <w:p w14:paraId="1190FA47" w14:textId="57AD2B53" w:rsidR="00D00ACA" w:rsidRDefault="00A61C3A" w:rsidP="00747F11">
      <w:pPr>
        <w:spacing w:before="240"/>
        <w:ind w:right="120" w:firstLine="708"/>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Os trabalhos foram realizados por meio</w:t>
      </w:r>
      <w:r w:rsidR="002C780D">
        <w:rPr>
          <w:rFonts w:ascii="Times New Roman" w:eastAsia="Times New Roman" w:hAnsi="Times New Roman" w:cs="Times New Roman"/>
          <w:sz w:val="24"/>
          <w:szCs w:val="24"/>
          <w:lang w:eastAsia="pt-BR"/>
        </w:rPr>
        <w:t xml:space="preserve"> de procedimentos analíticos,</w:t>
      </w:r>
      <w:r w:rsidRPr="00A61C3A">
        <w:rPr>
          <w:rFonts w:ascii="Times New Roman" w:eastAsia="Times New Roman" w:hAnsi="Times New Roman" w:cs="Times New Roman"/>
          <w:sz w:val="24"/>
          <w:szCs w:val="24"/>
          <w:lang w:eastAsia="pt-BR"/>
        </w:rPr>
        <w:t xml:space="preserve"> da aplicação da amostragem</w:t>
      </w:r>
      <w:r w:rsidR="008E5156">
        <w:rPr>
          <w:rFonts w:ascii="Times New Roman" w:eastAsia="Times New Roman" w:hAnsi="Times New Roman" w:cs="Times New Roman"/>
          <w:sz w:val="24"/>
          <w:szCs w:val="24"/>
          <w:lang w:eastAsia="pt-BR"/>
        </w:rPr>
        <w:t xml:space="preserve"> estatística</w:t>
      </w:r>
      <w:r w:rsidR="003D6D4E">
        <w:rPr>
          <w:rFonts w:ascii="Times New Roman" w:eastAsia="Times New Roman" w:hAnsi="Times New Roman" w:cs="Times New Roman"/>
          <w:sz w:val="24"/>
          <w:szCs w:val="24"/>
          <w:lang w:eastAsia="pt-BR"/>
        </w:rPr>
        <w:t xml:space="preserve"> e</w:t>
      </w:r>
      <w:r w:rsidR="008E5156">
        <w:rPr>
          <w:rFonts w:ascii="Times New Roman" w:eastAsia="Times New Roman" w:hAnsi="Times New Roman" w:cs="Times New Roman"/>
          <w:sz w:val="24"/>
          <w:szCs w:val="24"/>
          <w:lang w:eastAsia="pt-BR"/>
        </w:rPr>
        <w:t xml:space="preserve"> </w:t>
      </w:r>
      <w:r w:rsidR="003D6D4E">
        <w:rPr>
          <w:rFonts w:ascii="Times New Roman" w:eastAsia="Times New Roman" w:hAnsi="Times New Roman" w:cs="Times New Roman"/>
          <w:sz w:val="24"/>
          <w:szCs w:val="24"/>
          <w:lang w:eastAsia="pt-BR"/>
        </w:rPr>
        <w:t xml:space="preserve">da amostragem </w:t>
      </w:r>
      <w:r w:rsidRPr="00A61C3A">
        <w:rPr>
          <w:rFonts w:ascii="Times New Roman" w:eastAsia="Times New Roman" w:hAnsi="Times New Roman" w:cs="Times New Roman"/>
          <w:sz w:val="24"/>
          <w:szCs w:val="24"/>
          <w:lang w:eastAsia="pt-BR"/>
        </w:rPr>
        <w:t xml:space="preserve">não estatística e, </w:t>
      </w:r>
      <w:r w:rsidR="00423717">
        <w:rPr>
          <w:rFonts w:ascii="Times New Roman" w:eastAsia="Times New Roman" w:hAnsi="Times New Roman" w:cs="Times New Roman"/>
          <w:sz w:val="24"/>
          <w:szCs w:val="24"/>
          <w:lang w:eastAsia="pt-BR"/>
        </w:rPr>
        <w:t>quando aplicável</w:t>
      </w:r>
      <w:r w:rsidRPr="00A61C3A">
        <w:rPr>
          <w:rFonts w:ascii="Times New Roman" w:eastAsia="Times New Roman" w:hAnsi="Times New Roman" w:cs="Times New Roman"/>
          <w:sz w:val="24"/>
          <w:szCs w:val="24"/>
          <w:lang w:eastAsia="pt-BR"/>
        </w:rPr>
        <w:t xml:space="preserve">, </w:t>
      </w:r>
      <w:r w:rsidR="003D6D4E">
        <w:rPr>
          <w:rFonts w:ascii="Times New Roman" w:eastAsia="Times New Roman" w:hAnsi="Times New Roman" w:cs="Times New Roman"/>
          <w:sz w:val="24"/>
          <w:szCs w:val="24"/>
          <w:lang w:eastAsia="pt-BR"/>
        </w:rPr>
        <w:t>por meio da</w:t>
      </w:r>
      <w:r w:rsidRPr="00A61C3A">
        <w:rPr>
          <w:rFonts w:ascii="Times New Roman" w:eastAsia="Times New Roman" w:hAnsi="Times New Roman" w:cs="Times New Roman"/>
          <w:sz w:val="24"/>
          <w:szCs w:val="24"/>
          <w:lang w:eastAsia="pt-BR"/>
        </w:rPr>
        <w:t xml:space="preserve"> seleção de todos os itens.</w:t>
      </w:r>
      <w:r w:rsidR="002C780D">
        <w:rPr>
          <w:rFonts w:ascii="Times New Roman" w:eastAsia="Times New Roman" w:hAnsi="Times New Roman" w:cs="Times New Roman"/>
          <w:sz w:val="24"/>
          <w:szCs w:val="24"/>
          <w:lang w:eastAsia="pt-BR"/>
        </w:rPr>
        <w:t xml:space="preserve"> </w:t>
      </w:r>
    </w:p>
    <w:p w14:paraId="00B019D2" w14:textId="7414BCB1" w:rsidR="00D00ACA" w:rsidRDefault="00D00ACA" w:rsidP="00747F11">
      <w:pPr>
        <w:spacing w:before="240"/>
        <w:ind w:right="120" w:firstLine="708"/>
        <w:jc w:val="both"/>
        <w:rPr>
          <w:rFonts w:ascii="Times New Roman" w:eastAsia="Times New Roman" w:hAnsi="Times New Roman" w:cs="Times New Roman"/>
          <w:sz w:val="24"/>
          <w:szCs w:val="24"/>
          <w:lang w:eastAsia="pt-BR"/>
        </w:rPr>
      </w:pPr>
      <w:r w:rsidRPr="00D00ACA">
        <w:rPr>
          <w:rFonts w:ascii="Times New Roman" w:eastAsia="Times New Roman" w:hAnsi="Times New Roman" w:cs="Times New Roman"/>
          <w:sz w:val="24"/>
          <w:szCs w:val="24"/>
          <w:lang w:eastAsia="pt-BR"/>
        </w:rPr>
        <w:t>No que se refere às despesas de pessoal, os procedimentos concentraram-se na folha de pagamento normal e suplementar, abrangendo remunerações, vantagens, gratificações, descontos legais, provisões de férias, 13º salário e demais pagamentos correlatos, adotando-se a metodologia utilizada pelo Conselho da Justiça Federal – CJF na auditoria de contas</w:t>
      </w:r>
      <w:r w:rsidR="00064937">
        <w:rPr>
          <w:rFonts w:ascii="Times New Roman" w:eastAsia="Times New Roman" w:hAnsi="Times New Roman" w:cs="Times New Roman"/>
          <w:sz w:val="24"/>
          <w:szCs w:val="24"/>
          <w:lang w:eastAsia="pt-BR"/>
        </w:rPr>
        <w:t>.</w:t>
      </w:r>
    </w:p>
    <w:p w14:paraId="7482A13F" w14:textId="7E9F73DE" w:rsidR="00F81CD8" w:rsidRDefault="00D706C0" w:rsidP="00D00ACA">
      <w:pPr>
        <w:spacing w:before="240"/>
        <w:ind w:right="120"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064937">
        <w:rPr>
          <w:rFonts w:ascii="Times New Roman" w:eastAsia="Times New Roman" w:hAnsi="Times New Roman" w:cs="Times New Roman"/>
          <w:sz w:val="24"/>
          <w:szCs w:val="24"/>
          <w:lang w:eastAsia="pt-BR"/>
        </w:rPr>
        <w:t>Quanto às</w:t>
      </w:r>
      <w:r w:rsidR="00F81CD8" w:rsidRPr="00F81CD8">
        <w:rPr>
          <w:rFonts w:ascii="Times New Roman" w:eastAsia="Times New Roman" w:hAnsi="Times New Roman" w:cs="Times New Roman"/>
          <w:sz w:val="24"/>
          <w:szCs w:val="24"/>
          <w:lang w:eastAsia="pt-BR"/>
        </w:rPr>
        <w:t xml:space="preserve"> contratações, foram analisadas as despesas registradas nas </w:t>
      </w:r>
      <w:proofErr w:type="spellStart"/>
      <w:r w:rsidR="00F81CD8" w:rsidRPr="00F81CD8">
        <w:rPr>
          <w:rFonts w:ascii="Times New Roman" w:eastAsia="Times New Roman" w:hAnsi="Times New Roman" w:cs="Times New Roman"/>
          <w:sz w:val="24"/>
          <w:szCs w:val="24"/>
          <w:lang w:eastAsia="pt-BR"/>
        </w:rPr>
        <w:t>VPDs</w:t>
      </w:r>
      <w:proofErr w:type="spellEnd"/>
      <w:r w:rsidR="00F81CD8" w:rsidRPr="00F81CD8">
        <w:rPr>
          <w:rFonts w:ascii="Times New Roman" w:eastAsia="Times New Roman" w:hAnsi="Times New Roman" w:cs="Times New Roman"/>
          <w:sz w:val="24"/>
          <w:szCs w:val="24"/>
          <w:lang w:eastAsia="pt-BR"/>
        </w:rPr>
        <w:t xml:space="preserve"> 33231.02.00</w:t>
      </w:r>
      <w:r w:rsidR="00F81CD8">
        <w:rPr>
          <w:rFonts w:ascii="Times New Roman" w:eastAsia="Times New Roman" w:hAnsi="Times New Roman" w:cs="Times New Roman"/>
          <w:sz w:val="24"/>
          <w:szCs w:val="24"/>
          <w:lang w:eastAsia="pt-BR"/>
        </w:rPr>
        <w:t xml:space="preserve"> - </w:t>
      </w:r>
      <w:r w:rsidR="00F81CD8" w:rsidRPr="00F81CD8">
        <w:rPr>
          <w:rFonts w:ascii="Times New Roman" w:eastAsia="Times New Roman" w:hAnsi="Times New Roman" w:cs="Times New Roman"/>
          <w:sz w:val="24"/>
          <w:szCs w:val="24"/>
          <w:lang w:eastAsia="pt-BR"/>
        </w:rPr>
        <w:t xml:space="preserve">Serviços de apoio administrativo, técnico e operacional) e 33111.09.00 </w:t>
      </w:r>
      <w:r w:rsidR="00F81CD8">
        <w:rPr>
          <w:rFonts w:ascii="Times New Roman" w:eastAsia="Times New Roman" w:hAnsi="Times New Roman" w:cs="Times New Roman"/>
          <w:sz w:val="24"/>
          <w:szCs w:val="24"/>
          <w:lang w:eastAsia="pt-BR"/>
        </w:rPr>
        <w:t xml:space="preserve">- </w:t>
      </w:r>
      <w:r w:rsidR="00F81CD8" w:rsidRPr="00F81CD8">
        <w:rPr>
          <w:rFonts w:ascii="Times New Roman" w:eastAsia="Times New Roman" w:hAnsi="Times New Roman" w:cs="Times New Roman"/>
          <w:sz w:val="24"/>
          <w:szCs w:val="24"/>
          <w:lang w:eastAsia="pt-BR"/>
        </w:rPr>
        <w:t>Material de Consumo Imediato, incluindo as naturezas 339037, 339039-19, 339030-01 e 339030-39.</w:t>
      </w:r>
      <w:r w:rsidR="00F81CD8">
        <w:rPr>
          <w:rFonts w:ascii="Times New Roman" w:eastAsia="Times New Roman" w:hAnsi="Times New Roman" w:cs="Times New Roman"/>
          <w:sz w:val="24"/>
          <w:szCs w:val="24"/>
          <w:lang w:eastAsia="pt-BR"/>
        </w:rPr>
        <w:t xml:space="preserve"> </w:t>
      </w:r>
    </w:p>
    <w:p w14:paraId="381F6DE4" w14:textId="6543C8FE" w:rsidR="008E5156" w:rsidRDefault="007B569B" w:rsidP="00D00ACA">
      <w:pPr>
        <w:spacing w:before="240"/>
        <w:ind w:right="120"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No tocante ao ciclo de </w:t>
      </w:r>
      <w:r w:rsidR="00F302AE">
        <w:rPr>
          <w:rFonts w:ascii="Times New Roman" w:eastAsia="Times New Roman" w:hAnsi="Times New Roman" w:cs="Times New Roman"/>
          <w:sz w:val="24"/>
          <w:szCs w:val="24"/>
          <w:lang w:eastAsia="pt-BR"/>
        </w:rPr>
        <w:t xml:space="preserve">precatórios, </w:t>
      </w:r>
      <w:r>
        <w:rPr>
          <w:rFonts w:ascii="Times New Roman" w:eastAsia="Times New Roman" w:hAnsi="Times New Roman" w:cs="Times New Roman"/>
          <w:sz w:val="24"/>
          <w:szCs w:val="24"/>
          <w:lang w:eastAsia="pt-BR"/>
        </w:rPr>
        <w:t>foram analisadas as despesas pagas de precatórios</w:t>
      </w:r>
      <w:r w:rsidR="008E5156">
        <w:rPr>
          <w:rFonts w:ascii="Times New Roman" w:eastAsia="Times New Roman" w:hAnsi="Times New Roman" w:cs="Times New Roman"/>
          <w:sz w:val="24"/>
          <w:szCs w:val="24"/>
          <w:lang w:eastAsia="pt-BR"/>
        </w:rPr>
        <w:t>, RPVs</w:t>
      </w:r>
      <w:r>
        <w:rPr>
          <w:rFonts w:ascii="Times New Roman" w:eastAsia="Times New Roman" w:hAnsi="Times New Roman" w:cs="Times New Roman"/>
          <w:sz w:val="24"/>
          <w:szCs w:val="24"/>
          <w:lang w:eastAsia="pt-BR"/>
        </w:rPr>
        <w:t xml:space="preserve"> </w:t>
      </w:r>
      <w:r w:rsidR="008E5156">
        <w:rPr>
          <w:rFonts w:ascii="Times New Roman" w:eastAsia="Times New Roman" w:hAnsi="Times New Roman" w:cs="Times New Roman"/>
          <w:sz w:val="24"/>
          <w:szCs w:val="24"/>
          <w:lang w:eastAsia="pt-BR"/>
        </w:rPr>
        <w:t>e a</w:t>
      </w:r>
      <w:r>
        <w:rPr>
          <w:rFonts w:ascii="Times New Roman" w:eastAsia="Times New Roman" w:hAnsi="Times New Roman" w:cs="Times New Roman"/>
          <w:sz w:val="24"/>
          <w:szCs w:val="24"/>
          <w:lang w:eastAsia="pt-BR"/>
        </w:rPr>
        <w:t xml:space="preserve"> contabilização da obrigação a pagar com reflexo no patrimônio da entidade devedora.</w:t>
      </w:r>
    </w:p>
    <w:p w14:paraId="0AFBB1B0" w14:textId="694B918E" w:rsidR="006644BD" w:rsidRDefault="00A61C3A" w:rsidP="005C3707">
      <w:pPr>
        <w:spacing w:before="240"/>
        <w:ind w:firstLine="708"/>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Sob a perspectiva patrimonial</w:t>
      </w:r>
      <w:r w:rsidR="002E3963">
        <w:rPr>
          <w:rFonts w:ascii="Times New Roman" w:eastAsia="Times New Roman" w:hAnsi="Times New Roman" w:cs="Times New Roman"/>
          <w:sz w:val="24"/>
          <w:szCs w:val="24"/>
          <w:lang w:eastAsia="pt-BR"/>
        </w:rPr>
        <w:t>,</w:t>
      </w:r>
      <w:r w:rsidRPr="00A61C3A">
        <w:rPr>
          <w:rFonts w:ascii="Times New Roman" w:eastAsia="Times New Roman" w:hAnsi="Times New Roman" w:cs="Times New Roman"/>
          <w:sz w:val="24"/>
          <w:szCs w:val="24"/>
          <w:lang w:eastAsia="pt-BR"/>
        </w:rPr>
        <w:t xml:space="preserve"> os esforços da auditoria foram direcionados </w:t>
      </w:r>
      <w:r w:rsidR="0084218E">
        <w:rPr>
          <w:rFonts w:ascii="Times New Roman" w:eastAsia="Times New Roman" w:hAnsi="Times New Roman" w:cs="Times New Roman"/>
          <w:sz w:val="24"/>
          <w:szCs w:val="24"/>
          <w:lang w:eastAsia="pt-BR"/>
        </w:rPr>
        <w:t xml:space="preserve">à </w:t>
      </w:r>
      <w:r w:rsidRPr="00A61C3A">
        <w:rPr>
          <w:rFonts w:ascii="Times New Roman" w:eastAsia="Times New Roman" w:hAnsi="Times New Roman" w:cs="Times New Roman"/>
          <w:sz w:val="24"/>
          <w:szCs w:val="24"/>
          <w:lang w:eastAsia="pt-BR"/>
        </w:rPr>
        <w:t>avaliação das contas do Imobilizado</w:t>
      </w:r>
      <w:r w:rsidR="0084218E">
        <w:rPr>
          <w:rFonts w:ascii="Times New Roman" w:eastAsia="Times New Roman" w:hAnsi="Times New Roman" w:cs="Times New Roman"/>
          <w:sz w:val="24"/>
          <w:szCs w:val="24"/>
          <w:lang w:eastAsia="pt-BR"/>
        </w:rPr>
        <w:t>:</w:t>
      </w:r>
      <w:r w:rsidR="00306019">
        <w:rPr>
          <w:rFonts w:ascii="Times New Roman" w:eastAsia="Times New Roman" w:hAnsi="Times New Roman" w:cs="Times New Roman"/>
          <w:sz w:val="24"/>
          <w:szCs w:val="24"/>
          <w:lang w:eastAsia="pt-BR"/>
        </w:rPr>
        <w:t xml:space="preserve"> </w:t>
      </w:r>
      <w:r w:rsidR="00306019" w:rsidRPr="00306019">
        <w:rPr>
          <w:rFonts w:ascii="Times New Roman" w:eastAsia="Times New Roman" w:hAnsi="Times New Roman" w:cs="Times New Roman"/>
          <w:color w:val="000000"/>
          <w:sz w:val="24"/>
          <w:szCs w:val="24"/>
          <w:lang w:eastAsia="pt-BR"/>
        </w:rPr>
        <w:t>12311.02.01 – Equipamento de tecnologia da informação e comunicação/</w:t>
      </w:r>
      <w:proofErr w:type="spellStart"/>
      <w:r w:rsidR="00306019" w:rsidRPr="00306019">
        <w:rPr>
          <w:rFonts w:ascii="Times New Roman" w:eastAsia="Times New Roman" w:hAnsi="Times New Roman" w:cs="Times New Roman"/>
          <w:color w:val="000000"/>
          <w:sz w:val="24"/>
          <w:szCs w:val="24"/>
          <w:lang w:eastAsia="pt-BR"/>
        </w:rPr>
        <w:t>tic</w:t>
      </w:r>
      <w:proofErr w:type="spellEnd"/>
      <w:r w:rsidR="0084218E">
        <w:rPr>
          <w:rFonts w:ascii="Times New Roman" w:eastAsia="Times New Roman" w:hAnsi="Times New Roman" w:cs="Times New Roman"/>
          <w:color w:val="000000"/>
          <w:sz w:val="24"/>
          <w:szCs w:val="24"/>
          <w:lang w:eastAsia="pt-BR"/>
        </w:rPr>
        <w:t>,</w:t>
      </w:r>
      <w:r w:rsidR="005C3707">
        <w:rPr>
          <w:rFonts w:ascii="Times New Roman" w:eastAsia="Times New Roman" w:hAnsi="Times New Roman" w:cs="Times New Roman"/>
          <w:color w:val="000000"/>
          <w:sz w:val="24"/>
          <w:szCs w:val="24"/>
          <w:lang w:eastAsia="pt-BR"/>
        </w:rPr>
        <w:t xml:space="preserve"> </w:t>
      </w:r>
      <w:r w:rsidR="005C3707" w:rsidRPr="005C3707">
        <w:rPr>
          <w:rFonts w:ascii="Times New Roman" w:eastAsia="Times New Roman" w:hAnsi="Times New Roman" w:cs="Times New Roman"/>
          <w:color w:val="000000"/>
          <w:sz w:val="24"/>
          <w:szCs w:val="24"/>
          <w:lang w:eastAsia="pt-BR"/>
        </w:rPr>
        <w:t>12311.03.03</w:t>
      </w:r>
      <w:r w:rsidR="005C3707">
        <w:rPr>
          <w:rFonts w:ascii="Times New Roman" w:eastAsia="Times New Roman" w:hAnsi="Times New Roman" w:cs="Times New Roman"/>
          <w:color w:val="000000"/>
          <w:sz w:val="24"/>
          <w:szCs w:val="24"/>
          <w:lang w:eastAsia="pt-BR"/>
        </w:rPr>
        <w:t xml:space="preserve"> – Imobiliário em geral e </w:t>
      </w:r>
      <w:r w:rsidR="005C3707" w:rsidRPr="005C3707">
        <w:rPr>
          <w:rFonts w:ascii="Times New Roman" w:eastAsia="Times New Roman" w:hAnsi="Times New Roman" w:cs="Times New Roman"/>
          <w:color w:val="000000"/>
          <w:sz w:val="24"/>
          <w:szCs w:val="24"/>
          <w:lang w:eastAsia="pt-BR"/>
        </w:rPr>
        <w:t>12311.05.03</w:t>
      </w:r>
      <w:r w:rsidR="005C3707">
        <w:rPr>
          <w:rFonts w:ascii="Times New Roman" w:eastAsia="Times New Roman" w:hAnsi="Times New Roman" w:cs="Times New Roman"/>
          <w:color w:val="000000"/>
          <w:sz w:val="24"/>
          <w:szCs w:val="24"/>
          <w:lang w:eastAsia="pt-BR"/>
        </w:rPr>
        <w:t xml:space="preserve"> – Veículos de tração mecânica</w:t>
      </w:r>
      <w:r w:rsidRPr="00A61C3A">
        <w:rPr>
          <w:rFonts w:ascii="Times New Roman" w:eastAsia="Times New Roman" w:hAnsi="Times New Roman" w:cs="Times New Roman"/>
          <w:sz w:val="24"/>
          <w:szCs w:val="24"/>
          <w:lang w:eastAsia="pt-BR"/>
        </w:rPr>
        <w:t>, totalizando</w:t>
      </w:r>
      <w:r w:rsidRPr="00A61C3A">
        <w:rPr>
          <w:rFonts w:ascii="Times New Roman" w:eastAsia="Times New Roman" w:hAnsi="Times New Roman" w:cs="Times New Roman"/>
          <w:b/>
          <w:bCs/>
          <w:sz w:val="24"/>
          <w:szCs w:val="24"/>
          <w:lang w:eastAsia="pt-BR"/>
        </w:rPr>
        <w:t xml:space="preserve"> R$ </w:t>
      </w:r>
      <w:r w:rsidR="005C3707">
        <w:rPr>
          <w:rFonts w:ascii="Times New Roman" w:eastAsia="Times New Roman" w:hAnsi="Times New Roman" w:cs="Times New Roman"/>
          <w:b/>
          <w:bCs/>
          <w:sz w:val="24"/>
          <w:szCs w:val="24"/>
          <w:lang w:eastAsia="pt-BR"/>
        </w:rPr>
        <w:t>95.998.333,05</w:t>
      </w:r>
      <w:r w:rsidR="00092D52">
        <w:rPr>
          <w:rFonts w:ascii="Times New Roman" w:eastAsia="Times New Roman" w:hAnsi="Times New Roman" w:cs="Times New Roman"/>
          <w:sz w:val="24"/>
          <w:szCs w:val="24"/>
          <w:lang w:eastAsia="pt-BR"/>
        </w:rPr>
        <w:t xml:space="preserve"> (</w:t>
      </w:r>
      <w:bookmarkStart w:id="6" w:name="_Toc67064359"/>
      <w:r w:rsidR="005C3707" w:rsidRPr="005C3707">
        <w:rPr>
          <w:rFonts w:ascii="Times New Roman" w:eastAsia="Times New Roman" w:hAnsi="Times New Roman" w:cs="Times New Roman"/>
          <w:sz w:val="24"/>
          <w:szCs w:val="24"/>
          <w:lang w:eastAsia="pt-BR"/>
        </w:rPr>
        <w:t>noventa e cinco milhões novecentos e noventa e oito mil</w:t>
      </w:r>
      <w:r w:rsidR="00C34065">
        <w:rPr>
          <w:rFonts w:ascii="Times New Roman" w:eastAsia="Times New Roman" w:hAnsi="Times New Roman" w:cs="Times New Roman"/>
          <w:sz w:val="24"/>
          <w:szCs w:val="24"/>
          <w:lang w:eastAsia="pt-BR"/>
        </w:rPr>
        <w:t xml:space="preserve"> </w:t>
      </w:r>
      <w:r w:rsidR="005C3707" w:rsidRPr="005C3707">
        <w:rPr>
          <w:rFonts w:ascii="Times New Roman" w:eastAsia="Times New Roman" w:hAnsi="Times New Roman" w:cs="Times New Roman"/>
          <w:sz w:val="24"/>
          <w:szCs w:val="24"/>
          <w:lang w:eastAsia="pt-BR"/>
        </w:rPr>
        <w:t>trezentos e trinta e três reais e cinco centavos</w:t>
      </w:r>
      <w:r w:rsidR="005C3707">
        <w:rPr>
          <w:rFonts w:ascii="Times New Roman" w:eastAsia="Times New Roman" w:hAnsi="Times New Roman" w:cs="Times New Roman"/>
          <w:sz w:val="24"/>
          <w:szCs w:val="24"/>
          <w:lang w:eastAsia="pt-BR"/>
        </w:rPr>
        <w:t>).</w:t>
      </w:r>
    </w:p>
    <w:p w14:paraId="1DB93A2A" w14:textId="77777777" w:rsidR="005C3707" w:rsidRPr="00EF59C7" w:rsidRDefault="005C3707" w:rsidP="00EF59C7">
      <w:pPr>
        <w:spacing w:before="120"/>
        <w:ind w:right="119" w:firstLine="0"/>
        <w:jc w:val="both"/>
        <w:rPr>
          <w:rFonts w:ascii="Times New Roman" w:eastAsia="Times New Roman" w:hAnsi="Times New Roman" w:cs="Times New Roman"/>
          <w:sz w:val="24"/>
          <w:szCs w:val="24"/>
          <w:lang w:eastAsia="pt-BR"/>
        </w:rPr>
      </w:pPr>
    </w:p>
    <w:p w14:paraId="74DC607C" w14:textId="01406040" w:rsidR="00A61C3A" w:rsidRPr="00DD17E9" w:rsidRDefault="00A61C3A" w:rsidP="00EF59C7">
      <w:pPr>
        <w:spacing w:before="120"/>
        <w:ind w:right="119" w:firstLine="0"/>
        <w:jc w:val="both"/>
        <w:rPr>
          <w:rFonts w:ascii="Times New Roman" w:eastAsia="Times New Roman" w:hAnsi="Times New Roman" w:cs="Times New Roman"/>
          <w:b/>
          <w:bCs/>
          <w:sz w:val="24"/>
          <w:szCs w:val="24"/>
          <w:lang w:eastAsia="pt-BR"/>
        </w:rPr>
      </w:pPr>
      <w:r w:rsidRPr="00DD17E9">
        <w:rPr>
          <w:rFonts w:ascii="Times New Roman" w:eastAsia="Times New Roman" w:hAnsi="Times New Roman" w:cs="Times New Roman"/>
          <w:b/>
          <w:bCs/>
          <w:sz w:val="24"/>
          <w:szCs w:val="24"/>
          <w:lang w:eastAsia="pt-BR"/>
        </w:rPr>
        <w:t>2.6</w:t>
      </w:r>
      <w:r w:rsidR="00C40E28" w:rsidRPr="00DD17E9">
        <w:rPr>
          <w:rFonts w:ascii="Times New Roman" w:eastAsia="Times New Roman" w:hAnsi="Times New Roman" w:cs="Times New Roman"/>
          <w:b/>
          <w:bCs/>
          <w:sz w:val="24"/>
          <w:szCs w:val="24"/>
          <w:lang w:eastAsia="pt-BR"/>
        </w:rPr>
        <w:t>.</w:t>
      </w:r>
      <w:r w:rsidRPr="00DD17E9">
        <w:rPr>
          <w:rFonts w:ascii="Times New Roman" w:eastAsia="Times New Roman" w:hAnsi="Times New Roman" w:cs="Times New Roman"/>
          <w:b/>
          <w:bCs/>
          <w:sz w:val="24"/>
          <w:szCs w:val="24"/>
          <w:lang w:eastAsia="pt-BR"/>
        </w:rPr>
        <w:t xml:space="preserve"> Benefícios da auditoria</w:t>
      </w:r>
      <w:bookmarkEnd w:id="6"/>
    </w:p>
    <w:p w14:paraId="456E740D" w14:textId="77777777" w:rsidR="00A61C3A" w:rsidRPr="00A61C3A" w:rsidRDefault="00A61C3A" w:rsidP="00747F11">
      <w:pPr>
        <w:spacing w:before="240"/>
        <w:ind w:right="120" w:firstLine="708"/>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color w:val="000000"/>
          <w:sz w:val="24"/>
          <w:szCs w:val="24"/>
          <w:lang w:eastAsia="pt-BR"/>
        </w:rPr>
        <w:t>Entre os benefícios esperados desta auditoria</w:t>
      </w:r>
      <w:r w:rsidR="001F3140">
        <w:rPr>
          <w:rFonts w:ascii="Times New Roman" w:eastAsia="Times New Roman" w:hAnsi="Times New Roman" w:cs="Times New Roman"/>
          <w:color w:val="000000"/>
          <w:sz w:val="24"/>
          <w:szCs w:val="24"/>
          <w:lang w:eastAsia="pt-BR"/>
        </w:rPr>
        <w:t>,</w:t>
      </w:r>
      <w:r w:rsidRPr="00A61C3A">
        <w:rPr>
          <w:rFonts w:ascii="Times New Roman" w:eastAsia="Times New Roman" w:hAnsi="Times New Roman" w:cs="Times New Roman"/>
          <w:color w:val="000000"/>
          <w:sz w:val="24"/>
          <w:szCs w:val="24"/>
          <w:lang w:eastAsia="pt-BR"/>
        </w:rPr>
        <w:t xml:space="preserve"> cita-se a melhoria das informações e dos controles internos sobre a conformidade dos atos de gestão financeira e orçamentária e dos respectivos registros contábeis, bem como sobre o processo de elaboração das demonstrações contábeis, mediante convergência aos padrões internacionais em implementação pela Secretaria do Tesouro Nacional - STN. A comunicação tempestiva das distorções, mesmo não relevantes, </w:t>
      </w:r>
      <w:r w:rsidRPr="00A61C3A">
        <w:rPr>
          <w:rFonts w:ascii="Times New Roman" w:eastAsia="Times New Roman" w:hAnsi="Times New Roman" w:cs="Times New Roman"/>
          <w:color w:val="000000"/>
          <w:sz w:val="24"/>
          <w:szCs w:val="24"/>
          <w:lang w:eastAsia="pt-BR"/>
        </w:rPr>
        <w:lastRenderedPageBreak/>
        <w:t>detectadas durante a execução dessa auditoria</w:t>
      </w:r>
      <w:r w:rsidR="005B6871">
        <w:rPr>
          <w:rFonts w:ascii="Times New Roman" w:eastAsia="Times New Roman" w:hAnsi="Times New Roman" w:cs="Times New Roman"/>
          <w:color w:val="000000"/>
          <w:sz w:val="24"/>
          <w:szCs w:val="24"/>
          <w:lang w:eastAsia="pt-BR"/>
        </w:rPr>
        <w:t>,</w:t>
      </w:r>
      <w:r w:rsidRPr="00A61C3A">
        <w:rPr>
          <w:rFonts w:ascii="Times New Roman" w:eastAsia="Times New Roman" w:hAnsi="Times New Roman" w:cs="Times New Roman"/>
          <w:color w:val="000000"/>
          <w:sz w:val="24"/>
          <w:szCs w:val="24"/>
          <w:lang w:eastAsia="pt-BR"/>
        </w:rPr>
        <w:t xml:space="preserve"> permitiu que a administração pudesse realizar os ajustes contábeis no SIAFI antes do encerramento do exercício, gerando informação mais fidedigna, melhorando assim a qualidade e a credibilidade da prestação de contas anual dos responsáveis.</w:t>
      </w:r>
    </w:p>
    <w:p w14:paraId="3966EC11" w14:textId="77777777" w:rsidR="00B5642D" w:rsidRPr="00F94938" w:rsidRDefault="5551D1CE" w:rsidP="00747F11">
      <w:pPr>
        <w:spacing w:before="240"/>
        <w:ind w:firstLine="708"/>
        <w:jc w:val="both"/>
        <w:rPr>
          <w:rFonts w:ascii="Times New Roman" w:eastAsia="Times New Roman" w:hAnsi="Times New Roman" w:cs="Times New Roman"/>
          <w:sz w:val="24"/>
          <w:szCs w:val="24"/>
          <w:lang w:eastAsia="pt-BR"/>
        </w:rPr>
      </w:pPr>
      <w:r w:rsidRPr="00F94938">
        <w:rPr>
          <w:rFonts w:ascii="Times New Roman" w:eastAsia="Times New Roman" w:hAnsi="Times New Roman" w:cs="Times New Roman"/>
          <w:sz w:val="24"/>
          <w:szCs w:val="24"/>
          <w:lang w:eastAsia="pt-BR"/>
        </w:rPr>
        <w:t>Em termos objetivos, destacam-se os seguintes</w:t>
      </w:r>
      <w:r w:rsidR="00800BEA" w:rsidRPr="00F94938">
        <w:rPr>
          <w:rFonts w:ascii="Times New Roman" w:eastAsia="Times New Roman" w:hAnsi="Times New Roman" w:cs="Times New Roman"/>
          <w:sz w:val="24"/>
          <w:szCs w:val="24"/>
          <w:lang w:eastAsia="pt-BR"/>
        </w:rPr>
        <w:t xml:space="preserve"> potenciais </w:t>
      </w:r>
      <w:r w:rsidRPr="00F94938">
        <w:rPr>
          <w:rFonts w:ascii="Times New Roman" w:eastAsia="Times New Roman" w:hAnsi="Times New Roman" w:cs="Times New Roman"/>
          <w:sz w:val="24"/>
          <w:szCs w:val="24"/>
          <w:lang w:eastAsia="pt-BR"/>
        </w:rPr>
        <w:t>benefícios:</w:t>
      </w:r>
    </w:p>
    <w:p w14:paraId="02B6370A" w14:textId="0E430C33" w:rsidR="002D4A07" w:rsidRPr="002D4A07" w:rsidRDefault="00D60686" w:rsidP="002D4A0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2D4A07" w:rsidRPr="002D4A07">
        <w:rPr>
          <w:rFonts w:ascii="Times New Roman" w:eastAsia="Times New Roman" w:hAnsi="Times New Roman" w:cs="Times New Roman"/>
          <w:sz w:val="24"/>
          <w:szCs w:val="24"/>
          <w:lang w:eastAsia="pt-BR"/>
        </w:rPr>
        <w:t>aperfeiçoamento dos controles patrimoniais relativos a bens móveis, com vistas a assegurar a correta contabilização dos bens permanentes e dos intangíveis da SJMG e do TRF6, de modo que cada UG reflita adequadamente sua situação patrimonial;</w:t>
      </w:r>
    </w:p>
    <w:p w14:paraId="5B025849" w14:textId="1C2405FF" w:rsidR="002D4A07" w:rsidRDefault="00D60686" w:rsidP="002D4A0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2D4A07" w:rsidRPr="009378D1">
        <w:rPr>
          <w:rFonts w:ascii="Times New Roman" w:eastAsia="Times New Roman" w:hAnsi="Times New Roman" w:cs="Times New Roman"/>
          <w:sz w:val="24"/>
          <w:szCs w:val="24"/>
          <w:lang w:eastAsia="pt-BR"/>
        </w:rPr>
        <w:t>aprimoramento da qualidade da informação contábil e patrimonial, com a correta classificação dos bens de pequeno valor, contribuindo para maior fidedignidade dos registros e alinhamento às normas aplicáveis;</w:t>
      </w:r>
    </w:p>
    <w:p w14:paraId="3C7B1DBF" w14:textId="77C36801" w:rsidR="001C4039" w:rsidRPr="002D4A07" w:rsidRDefault="00D60686" w:rsidP="002D4A0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F94938" w:rsidRPr="002D4A07">
        <w:rPr>
          <w:rFonts w:ascii="Times New Roman" w:eastAsia="Times New Roman" w:hAnsi="Times New Roman" w:cs="Times New Roman"/>
          <w:sz w:val="24"/>
          <w:szCs w:val="24"/>
          <w:lang w:eastAsia="pt-BR"/>
        </w:rPr>
        <w:t>ap</w:t>
      </w:r>
      <w:r w:rsidR="00A61C3A" w:rsidRPr="002D4A07">
        <w:rPr>
          <w:rFonts w:ascii="Times New Roman" w:eastAsia="Times New Roman" w:hAnsi="Times New Roman" w:cs="Times New Roman"/>
          <w:sz w:val="24"/>
          <w:szCs w:val="24"/>
          <w:lang w:eastAsia="pt-BR"/>
        </w:rPr>
        <w:t>erfeiçoamento dos controles</w:t>
      </w:r>
      <w:r w:rsidR="00A40C58" w:rsidRPr="002D4A07">
        <w:rPr>
          <w:rFonts w:ascii="Times New Roman" w:eastAsia="Times New Roman" w:hAnsi="Times New Roman" w:cs="Times New Roman"/>
          <w:sz w:val="24"/>
          <w:szCs w:val="24"/>
          <w:lang w:eastAsia="pt-BR"/>
        </w:rPr>
        <w:t xml:space="preserve"> patrimoniais</w:t>
      </w:r>
      <w:r w:rsidR="008413A7" w:rsidRPr="002D4A07">
        <w:rPr>
          <w:rFonts w:ascii="Times New Roman" w:eastAsia="Times New Roman" w:hAnsi="Times New Roman" w:cs="Times New Roman"/>
          <w:sz w:val="24"/>
          <w:szCs w:val="24"/>
          <w:lang w:eastAsia="pt-BR"/>
        </w:rPr>
        <w:t xml:space="preserve"> </w:t>
      </w:r>
      <w:r w:rsidR="00F94938" w:rsidRPr="002D4A07">
        <w:rPr>
          <w:rFonts w:ascii="Times New Roman" w:eastAsia="Times New Roman" w:hAnsi="Times New Roman" w:cs="Times New Roman"/>
          <w:sz w:val="24"/>
          <w:szCs w:val="24"/>
          <w:lang w:eastAsia="pt-BR"/>
        </w:rPr>
        <w:t>sobre os bens não localizados, com a adequada reclassificação contábil e a tempestiva apuração de responsabilidades, promovendo maior transparência na gestão patrimonial;</w:t>
      </w:r>
    </w:p>
    <w:p w14:paraId="22868AC3" w14:textId="450A3649" w:rsidR="00F94938" w:rsidRDefault="00D60686" w:rsidP="004B1E9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9378D1" w:rsidRPr="009378D1">
        <w:rPr>
          <w:rFonts w:ascii="Times New Roman" w:eastAsia="Times New Roman" w:hAnsi="Times New Roman" w:cs="Times New Roman"/>
          <w:sz w:val="24"/>
          <w:szCs w:val="24"/>
          <w:lang w:eastAsia="pt-BR"/>
        </w:rPr>
        <w:t>aprimoramento da gestão da frota oficial, com maior aderência aos normativos internos e à legislação ambiental, além da incorporação de práticas mais sustentáveis e eficientes;</w:t>
      </w:r>
    </w:p>
    <w:p w14:paraId="4AE483DC" w14:textId="02641132" w:rsidR="009378D1" w:rsidRPr="00311260" w:rsidRDefault="00D60686" w:rsidP="004B1E9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DC7C92">
        <w:rPr>
          <w:rFonts w:ascii="Times New Roman" w:eastAsia="Times New Roman" w:hAnsi="Times New Roman" w:cs="Times New Roman"/>
          <w:sz w:val="24"/>
          <w:szCs w:val="24"/>
          <w:lang w:eastAsia="pt-BR"/>
        </w:rPr>
        <w:t>f</w:t>
      </w:r>
      <w:r w:rsidR="00311260" w:rsidRPr="00311260">
        <w:rPr>
          <w:rFonts w:ascii="Times New Roman" w:eastAsia="Times New Roman" w:hAnsi="Times New Roman" w:cs="Times New Roman"/>
          <w:sz w:val="24"/>
          <w:szCs w:val="24"/>
          <w:lang w:eastAsia="pt-BR"/>
        </w:rPr>
        <w:t>ortalecimento dos controles internos nas contratações, especialmente quanto à gestão e fiscalização contratual, reduzindo riscos de impropriedades nos pagamentos e na execução dos contratos;</w:t>
      </w:r>
    </w:p>
    <w:p w14:paraId="43893DDD" w14:textId="5F21FF4C" w:rsidR="000976E0" w:rsidRPr="000976E0" w:rsidRDefault="00D60686" w:rsidP="000976E0">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000976E0" w:rsidRPr="000976E0">
        <w:rPr>
          <w:rFonts w:ascii="Times New Roman" w:eastAsia="Times New Roman" w:hAnsi="Times New Roman" w:cs="Times New Roman"/>
          <w:sz w:val="24"/>
          <w:szCs w:val="24"/>
          <w:lang w:eastAsia="pt-BR"/>
        </w:rPr>
        <w:t xml:space="preserve">mitigação de riscos de pagamentos indevidos e de </w:t>
      </w:r>
      <w:r>
        <w:rPr>
          <w:rFonts w:ascii="Times New Roman" w:eastAsia="Times New Roman" w:hAnsi="Times New Roman" w:cs="Times New Roman"/>
          <w:sz w:val="24"/>
          <w:szCs w:val="24"/>
          <w:lang w:eastAsia="pt-BR"/>
        </w:rPr>
        <w:t>desconto</w:t>
      </w:r>
      <w:r w:rsidR="000976E0" w:rsidRPr="000976E0">
        <w:rPr>
          <w:rFonts w:ascii="Times New Roman" w:eastAsia="Times New Roman" w:hAnsi="Times New Roman" w:cs="Times New Roman"/>
          <w:sz w:val="24"/>
          <w:szCs w:val="24"/>
          <w:lang w:eastAsia="pt-BR"/>
        </w:rPr>
        <w:t>s futur</w:t>
      </w:r>
      <w:r>
        <w:rPr>
          <w:rFonts w:ascii="Times New Roman" w:eastAsia="Times New Roman" w:hAnsi="Times New Roman" w:cs="Times New Roman"/>
          <w:sz w:val="24"/>
          <w:szCs w:val="24"/>
          <w:lang w:eastAsia="pt-BR"/>
        </w:rPr>
        <w:t>o</w:t>
      </w:r>
      <w:r w:rsidR="000976E0" w:rsidRPr="000976E0">
        <w:rPr>
          <w:rFonts w:ascii="Times New Roman" w:eastAsia="Times New Roman" w:hAnsi="Times New Roman" w:cs="Times New Roman"/>
          <w:sz w:val="24"/>
          <w:szCs w:val="24"/>
          <w:lang w:eastAsia="pt-BR"/>
        </w:rPr>
        <w:t>s;</w:t>
      </w:r>
    </w:p>
    <w:p w14:paraId="03172506" w14:textId="2A647816" w:rsidR="000976E0" w:rsidRPr="000976E0" w:rsidRDefault="00D60686" w:rsidP="000976E0">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0976E0" w:rsidRPr="000976E0">
        <w:rPr>
          <w:rFonts w:ascii="Times New Roman" w:eastAsia="Times New Roman" w:hAnsi="Times New Roman" w:cs="Times New Roman"/>
          <w:sz w:val="24"/>
          <w:szCs w:val="24"/>
          <w:lang w:eastAsia="pt-BR"/>
        </w:rPr>
        <w:t>aprimoramento dos controles relacionados ao processamento da folha de pagamento, de modo a assegurar a correta apuração e o registro fidedigno dos valores;</w:t>
      </w:r>
    </w:p>
    <w:p w14:paraId="29F41393" w14:textId="2229AE96" w:rsidR="000976E0" w:rsidRPr="000976E0" w:rsidRDefault="00D60686" w:rsidP="000976E0">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0976E0" w:rsidRPr="000976E0">
        <w:rPr>
          <w:rFonts w:ascii="Times New Roman" w:eastAsia="Times New Roman" w:hAnsi="Times New Roman" w:cs="Times New Roman"/>
          <w:sz w:val="24"/>
          <w:szCs w:val="24"/>
          <w:lang w:eastAsia="pt-BR"/>
        </w:rPr>
        <w:t xml:space="preserve">aumento da fidedignidade e da transparência das informações contábeis e gerenciais; </w:t>
      </w:r>
    </w:p>
    <w:p w14:paraId="139FB152" w14:textId="1C55160F" w:rsidR="000976E0" w:rsidRPr="000976E0" w:rsidRDefault="00D60686" w:rsidP="000976E0">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000976E0" w:rsidRPr="000976E0">
        <w:rPr>
          <w:rFonts w:ascii="Times New Roman" w:eastAsia="Times New Roman" w:hAnsi="Times New Roman" w:cs="Times New Roman"/>
          <w:sz w:val="24"/>
          <w:szCs w:val="24"/>
          <w:lang w:eastAsia="pt-BR"/>
        </w:rPr>
        <w:t xml:space="preserve">elevação do nível de maturidade dos controles internos administrativos; e </w:t>
      </w:r>
    </w:p>
    <w:p w14:paraId="3F0BB31E" w14:textId="22657C76" w:rsidR="00EC6826" w:rsidRPr="000976E0" w:rsidRDefault="00D60686" w:rsidP="000976E0">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0976E0" w:rsidRPr="000976E0">
        <w:rPr>
          <w:rFonts w:ascii="Times New Roman" w:eastAsia="Times New Roman" w:hAnsi="Times New Roman" w:cs="Times New Roman"/>
          <w:sz w:val="24"/>
          <w:szCs w:val="24"/>
          <w:lang w:eastAsia="pt-BR"/>
        </w:rPr>
        <w:t>fortalecimento da segurança jurídica para os gestores e para a instituição</w:t>
      </w:r>
      <w:r w:rsidR="00FD6794">
        <w:rPr>
          <w:rFonts w:ascii="Times New Roman" w:eastAsia="Times New Roman" w:hAnsi="Times New Roman" w:cs="Times New Roman"/>
          <w:sz w:val="24"/>
          <w:szCs w:val="24"/>
          <w:lang w:eastAsia="pt-BR"/>
        </w:rPr>
        <w:t>.</w:t>
      </w:r>
    </w:p>
    <w:p w14:paraId="32D6AF5B" w14:textId="77777777" w:rsidR="00AA75E5" w:rsidRDefault="00AA75E5" w:rsidP="00AA75E5">
      <w:pPr>
        <w:ind w:right="119" w:firstLine="0"/>
        <w:jc w:val="both"/>
        <w:rPr>
          <w:rFonts w:ascii="Times New Roman" w:eastAsia="Times New Roman" w:hAnsi="Times New Roman" w:cs="Times New Roman"/>
          <w:b/>
          <w:bCs/>
          <w:sz w:val="24"/>
          <w:szCs w:val="24"/>
          <w:lang w:eastAsia="pt-BR"/>
        </w:rPr>
      </w:pPr>
    </w:p>
    <w:p w14:paraId="3EE35E77" w14:textId="1DBB3B17" w:rsidR="00B91548" w:rsidRPr="005356D9" w:rsidRDefault="00A61C3A" w:rsidP="004B1E97">
      <w:pPr>
        <w:spacing w:before="240"/>
        <w:ind w:right="120" w:firstLine="0"/>
        <w:jc w:val="both"/>
        <w:rPr>
          <w:rFonts w:ascii="Times New Roman" w:eastAsia="Times New Roman" w:hAnsi="Times New Roman" w:cs="Times New Roman"/>
          <w:sz w:val="24"/>
          <w:szCs w:val="24"/>
          <w:lang w:eastAsia="pt-BR"/>
        </w:rPr>
      </w:pPr>
      <w:r w:rsidRPr="005356D9">
        <w:rPr>
          <w:rFonts w:ascii="Times New Roman" w:eastAsia="Times New Roman" w:hAnsi="Times New Roman" w:cs="Times New Roman"/>
          <w:b/>
          <w:bCs/>
          <w:sz w:val="24"/>
          <w:szCs w:val="24"/>
          <w:lang w:eastAsia="pt-BR"/>
        </w:rPr>
        <w:t>3. ACHADOS DE AUDITORIA</w:t>
      </w:r>
      <w:bookmarkStart w:id="7" w:name="_Toc67064361"/>
    </w:p>
    <w:p w14:paraId="33ABC988" w14:textId="77777777" w:rsidR="004D7D70" w:rsidRDefault="004D7D70" w:rsidP="00472697">
      <w:pPr>
        <w:ind w:right="119" w:firstLine="0"/>
        <w:jc w:val="both"/>
        <w:rPr>
          <w:rFonts w:ascii="Times New Roman" w:eastAsia="Times New Roman" w:hAnsi="Times New Roman" w:cs="Times New Roman"/>
          <w:b/>
          <w:bCs/>
          <w:color w:val="000000"/>
          <w:sz w:val="24"/>
          <w:szCs w:val="24"/>
          <w:lang w:eastAsia="pt-BR"/>
        </w:rPr>
      </w:pPr>
    </w:p>
    <w:p w14:paraId="605F3920" w14:textId="77777777" w:rsidR="00A61C3A" w:rsidRPr="005356D9" w:rsidRDefault="00A61C3A" w:rsidP="004B1E97">
      <w:pPr>
        <w:spacing w:before="240"/>
        <w:ind w:right="120" w:firstLine="0"/>
        <w:jc w:val="both"/>
        <w:rPr>
          <w:rFonts w:ascii="Times New Roman" w:eastAsia="Times New Roman" w:hAnsi="Times New Roman" w:cs="Times New Roman"/>
          <w:sz w:val="24"/>
          <w:szCs w:val="24"/>
          <w:lang w:eastAsia="pt-BR"/>
        </w:rPr>
      </w:pPr>
      <w:r w:rsidRPr="005356D9">
        <w:rPr>
          <w:rFonts w:ascii="Times New Roman" w:eastAsia="Times New Roman" w:hAnsi="Times New Roman" w:cs="Times New Roman"/>
          <w:b/>
          <w:bCs/>
          <w:color w:val="000000"/>
          <w:sz w:val="24"/>
          <w:szCs w:val="24"/>
          <w:lang w:eastAsia="pt-BR"/>
        </w:rPr>
        <w:t>3.1</w:t>
      </w:r>
      <w:r w:rsidR="00C40E28">
        <w:rPr>
          <w:rFonts w:ascii="Times New Roman" w:eastAsia="Times New Roman" w:hAnsi="Times New Roman" w:cs="Times New Roman"/>
          <w:b/>
          <w:bCs/>
          <w:color w:val="000000"/>
          <w:sz w:val="24"/>
          <w:szCs w:val="24"/>
          <w:lang w:eastAsia="pt-BR"/>
        </w:rPr>
        <w:t>.</w:t>
      </w:r>
      <w:r w:rsidRPr="005356D9">
        <w:rPr>
          <w:rFonts w:ascii="Times New Roman" w:eastAsia="Times New Roman" w:hAnsi="Times New Roman" w:cs="Times New Roman"/>
          <w:b/>
          <w:bCs/>
          <w:color w:val="000000"/>
          <w:sz w:val="24"/>
          <w:szCs w:val="24"/>
          <w:lang w:eastAsia="pt-BR"/>
        </w:rPr>
        <w:t xml:space="preserve"> Distorções de valores</w:t>
      </w:r>
      <w:bookmarkEnd w:id="7"/>
    </w:p>
    <w:p w14:paraId="401F6ED8" w14:textId="67FE3EB8" w:rsidR="00A61C3A" w:rsidRPr="005356D9" w:rsidRDefault="00A61C3A" w:rsidP="00747F11">
      <w:pPr>
        <w:spacing w:before="240"/>
        <w:ind w:right="120" w:firstLine="708"/>
        <w:jc w:val="both"/>
        <w:rPr>
          <w:rFonts w:ascii="Times New Roman" w:eastAsia="Times New Roman" w:hAnsi="Times New Roman" w:cs="Times New Roman"/>
          <w:sz w:val="24"/>
          <w:szCs w:val="24"/>
          <w:lang w:eastAsia="pt-BR"/>
        </w:rPr>
      </w:pPr>
      <w:r w:rsidRPr="005356D9">
        <w:rPr>
          <w:rFonts w:ascii="Times New Roman" w:eastAsia="Times New Roman" w:hAnsi="Times New Roman" w:cs="Times New Roman"/>
          <w:color w:val="000000"/>
          <w:sz w:val="24"/>
          <w:szCs w:val="24"/>
          <w:lang w:eastAsia="pt-BR"/>
        </w:rPr>
        <w:t>Não foram identificadas distorções relevantes nas demonstrações contábei</w:t>
      </w:r>
      <w:r w:rsidR="00592EFB">
        <w:rPr>
          <w:rFonts w:ascii="Times New Roman" w:eastAsia="Times New Roman" w:hAnsi="Times New Roman" w:cs="Times New Roman"/>
          <w:color w:val="000000"/>
          <w:sz w:val="24"/>
          <w:szCs w:val="24"/>
          <w:lang w:eastAsia="pt-BR"/>
        </w:rPr>
        <w:t>s referente</w:t>
      </w:r>
      <w:r w:rsidR="00B65685">
        <w:rPr>
          <w:rFonts w:ascii="Times New Roman" w:eastAsia="Times New Roman" w:hAnsi="Times New Roman" w:cs="Times New Roman"/>
          <w:color w:val="000000"/>
          <w:sz w:val="24"/>
          <w:szCs w:val="24"/>
          <w:lang w:eastAsia="pt-BR"/>
        </w:rPr>
        <w:t>s</w:t>
      </w:r>
      <w:r w:rsidR="00592EFB">
        <w:rPr>
          <w:rFonts w:ascii="Times New Roman" w:eastAsia="Times New Roman" w:hAnsi="Times New Roman" w:cs="Times New Roman"/>
          <w:color w:val="000000"/>
          <w:sz w:val="24"/>
          <w:szCs w:val="24"/>
          <w:lang w:eastAsia="pt-BR"/>
        </w:rPr>
        <w:t xml:space="preserve"> ao exercício de 202</w:t>
      </w:r>
      <w:r w:rsidR="006A7450">
        <w:rPr>
          <w:rFonts w:ascii="Times New Roman" w:eastAsia="Times New Roman" w:hAnsi="Times New Roman" w:cs="Times New Roman"/>
          <w:color w:val="000000"/>
          <w:sz w:val="24"/>
          <w:szCs w:val="24"/>
          <w:lang w:eastAsia="pt-BR"/>
        </w:rPr>
        <w:t>5</w:t>
      </w:r>
      <w:r w:rsidRPr="005356D9">
        <w:rPr>
          <w:rFonts w:ascii="Times New Roman" w:eastAsia="Times New Roman" w:hAnsi="Times New Roman" w:cs="Times New Roman"/>
          <w:color w:val="000000"/>
          <w:sz w:val="24"/>
          <w:szCs w:val="24"/>
          <w:lang w:eastAsia="pt-BR"/>
        </w:rPr>
        <w:t>.</w:t>
      </w:r>
    </w:p>
    <w:p w14:paraId="10EC35BB" w14:textId="77777777" w:rsidR="00A61C3A" w:rsidRPr="00A61C3A" w:rsidRDefault="00A61C3A" w:rsidP="00747F11">
      <w:pPr>
        <w:ind w:left="119" w:right="119" w:firstLine="0"/>
        <w:jc w:val="both"/>
        <w:rPr>
          <w:rFonts w:ascii="Times New Roman" w:eastAsia="Times New Roman" w:hAnsi="Times New Roman" w:cs="Times New Roman"/>
          <w:sz w:val="24"/>
          <w:szCs w:val="24"/>
          <w:lang w:eastAsia="pt-BR"/>
        </w:rPr>
      </w:pPr>
      <w:bookmarkStart w:id="8" w:name="_Toc67067902"/>
      <w:bookmarkStart w:id="9" w:name="_Toc67066965"/>
      <w:bookmarkStart w:id="10" w:name="_Toc67064362"/>
      <w:bookmarkEnd w:id="8"/>
      <w:bookmarkEnd w:id="9"/>
    </w:p>
    <w:p w14:paraId="50D5F191" w14:textId="77777777" w:rsidR="00A61C3A" w:rsidRPr="00704CAD" w:rsidRDefault="00A61C3A" w:rsidP="004B1E97">
      <w:pPr>
        <w:spacing w:before="240"/>
        <w:ind w:right="120" w:firstLine="0"/>
        <w:jc w:val="both"/>
        <w:rPr>
          <w:rFonts w:ascii="Times New Roman" w:eastAsia="Times New Roman" w:hAnsi="Times New Roman" w:cs="Times New Roman"/>
          <w:sz w:val="24"/>
          <w:szCs w:val="24"/>
          <w:lang w:eastAsia="pt-BR"/>
        </w:rPr>
      </w:pPr>
      <w:r w:rsidRPr="00704CAD">
        <w:rPr>
          <w:rFonts w:ascii="Times New Roman" w:eastAsia="Times New Roman" w:hAnsi="Times New Roman" w:cs="Times New Roman"/>
          <w:b/>
          <w:bCs/>
          <w:sz w:val="24"/>
          <w:szCs w:val="24"/>
          <w:lang w:eastAsia="pt-BR"/>
        </w:rPr>
        <w:t>3.2</w:t>
      </w:r>
      <w:r w:rsidR="00C40E28">
        <w:rPr>
          <w:rFonts w:ascii="Times New Roman" w:eastAsia="Times New Roman" w:hAnsi="Times New Roman" w:cs="Times New Roman"/>
          <w:b/>
          <w:bCs/>
          <w:sz w:val="24"/>
          <w:szCs w:val="24"/>
          <w:lang w:eastAsia="pt-BR"/>
        </w:rPr>
        <w:t>.</w:t>
      </w:r>
      <w:r w:rsidRPr="00704CAD">
        <w:rPr>
          <w:rFonts w:ascii="Times New Roman" w:eastAsia="Times New Roman" w:hAnsi="Times New Roman" w:cs="Times New Roman"/>
          <w:b/>
          <w:bCs/>
          <w:sz w:val="24"/>
          <w:szCs w:val="24"/>
          <w:lang w:eastAsia="pt-BR"/>
        </w:rPr>
        <w:t xml:space="preserve"> Distorções de classificação, apresentação ou divulgação</w:t>
      </w:r>
      <w:bookmarkEnd w:id="10"/>
    </w:p>
    <w:p w14:paraId="3AA12F14" w14:textId="45F752C5" w:rsidR="00A61C3A" w:rsidRPr="006A7450" w:rsidRDefault="00A61C3A" w:rsidP="00747F11">
      <w:pPr>
        <w:spacing w:before="240"/>
        <w:ind w:right="120" w:firstLine="708"/>
        <w:jc w:val="both"/>
        <w:rPr>
          <w:rFonts w:ascii="Times New Roman" w:eastAsia="Times New Roman" w:hAnsi="Times New Roman" w:cs="Times New Roman"/>
          <w:sz w:val="24"/>
          <w:szCs w:val="24"/>
          <w:lang w:eastAsia="pt-BR"/>
        </w:rPr>
      </w:pPr>
      <w:r w:rsidRPr="00704CAD">
        <w:rPr>
          <w:rFonts w:ascii="Times New Roman" w:eastAsia="Times New Roman" w:hAnsi="Times New Roman" w:cs="Times New Roman"/>
          <w:sz w:val="24"/>
          <w:szCs w:val="24"/>
          <w:lang w:eastAsia="pt-BR"/>
        </w:rPr>
        <w:t xml:space="preserve">As avaliações promovidas não identificaram distorções de classificação contábil, apresentação ou divulgação. As Notas Explicativas e as demonstrações contábeis apresentam as exigências básicas de estrutura e de conteúdo estabelecidas no Manual de Contabilidade Aplicado ao Setor </w:t>
      </w:r>
      <w:r w:rsidRPr="00124C95">
        <w:rPr>
          <w:rFonts w:ascii="Times New Roman" w:eastAsia="Times New Roman" w:hAnsi="Times New Roman" w:cs="Times New Roman"/>
          <w:sz w:val="24"/>
          <w:szCs w:val="24"/>
          <w:lang w:eastAsia="pt-BR"/>
        </w:rPr>
        <w:t>Público</w:t>
      </w:r>
      <w:r w:rsidR="00B04511" w:rsidRPr="00124C95">
        <w:rPr>
          <w:rFonts w:ascii="Times New Roman" w:eastAsia="Times New Roman" w:hAnsi="Times New Roman" w:cs="Times New Roman"/>
          <w:sz w:val="24"/>
          <w:szCs w:val="24"/>
          <w:lang w:eastAsia="pt-BR"/>
        </w:rPr>
        <w:t xml:space="preserve"> -</w:t>
      </w:r>
      <w:r w:rsidRPr="00124C95">
        <w:rPr>
          <w:rFonts w:ascii="Times New Roman" w:eastAsia="Times New Roman" w:hAnsi="Times New Roman" w:cs="Times New Roman"/>
          <w:sz w:val="24"/>
          <w:szCs w:val="24"/>
          <w:lang w:eastAsia="pt-BR"/>
        </w:rPr>
        <w:t xml:space="preserve"> </w:t>
      </w:r>
      <w:hyperlink r:id="rId28" w:history="1">
        <w:r w:rsidR="006A7450" w:rsidRPr="00FD218D">
          <w:rPr>
            <w:rStyle w:val="Hyperlink"/>
            <w:rFonts w:ascii="Times New Roman" w:hAnsi="Times New Roman" w:cs="Times New Roman"/>
            <w:sz w:val="24"/>
            <w:szCs w:val="24"/>
          </w:rPr>
          <w:t>MCASP 11ª edição</w:t>
        </w:r>
      </w:hyperlink>
      <w:r w:rsidRPr="00124C95">
        <w:rPr>
          <w:rFonts w:ascii="Times New Roman" w:eastAsia="Times New Roman" w:hAnsi="Times New Roman" w:cs="Times New Roman"/>
          <w:sz w:val="24"/>
          <w:szCs w:val="24"/>
          <w:lang w:eastAsia="pt-BR"/>
        </w:rPr>
        <w:t xml:space="preserve"> e nas</w:t>
      </w:r>
      <w:r w:rsidRPr="00704CAD">
        <w:rPr>
          <w:rFonts w:ascii="Times New Roman" w:eastAsia="Times New Roman" w:hAnsi="Times New Roman" w:cs="Times New Roman"/>
          <w:sz w:val="24"/>
          <w:szCs w:val="24"/>
          <w:lang w:eastAsia="pt-BR"/>
        </w:rPr>
        <w:t xml:space="preserve"> Normas Brasileiras de Contabilidade Técnicas do Setor </w:t>
      </w:r>
      <w:r w:rsidRPr="00124C95">
        <w:rPr>
          <w:rFonts w:ascii="Times New Roman" w:eastAsia="Times New Roman" w:hAnsi="Times New Roman" w:cs="Times New Roman"/>
          <w:sz w:val="24"/>
          <w:szCs w:val="24"/>
          <w:lang w:eastAsia="pt-BR"/>
        </w:rPr>
        <w:t xml:space="preserve">Público </w:t>
      </w:r>
      <w:r w:rsidR="00124C95" w:rsidRPr="00124C95">
        <w:rPr>
          <w:rFonts w:ascii="Times New Roman" w:hAnsi="Times New Roman" w:cs="Times New Roman"/>
          <w:color w:val="000000"/>
          <w:sz w:val="24"/>
          <w:szCs w:val="24"/>
        </w:rPr>
        <w:t> </w:t>
      </w:r>
      <w:hyperlink r:id="rId29" w:tgtFrame="_blank" w:history="1">
        <w:r w:rsidR="00124C95" w:rsidRPr="00124C95">
          <w:rPr>
            <w:rStyle w:val="Hyperlink"/>
            <w:rFonts w:ascii="Times New Roman" w:hAnsi="Times New Roman" w:cs="Times New Roman"/>
            <w:sz w:val="24"/>
            <w:szCs w:val="24"/>
          </w:rPr>
          <w:t>NBC TSP 11</w:t>
        </w:r>
      </w:hyperlink>
      <w:r w:rsidR="00124C95" w:rsidRPr="00124C95">
        <w:rPr>
          <w:rFonts w:ascii="Times New Roman" w:hAnsi="Times New Roman" w:cs="Times New Roman"/>
          <w:sz w:val="24"/>
          <w:szCs w:val="24"/>
        </w:rPr>
        <w:t>,</w:t>
      </w:r>
      <w:r w:rsidRPr="00124C95">
        <w:rPr>
          <w:rFonts w:ascii="Times New Roman" w:eastAsia="Times New Roman" w:hAnsi="Times New Roman" w:cs="Times New Roman"/>
          <w:sz w:val="24"/>
          <w:szCs w:val="24"/>
          <w:lang w:eastAsia="pt-BR"/>
        </w:rPr>
        <w:t xml:space="preserve"> conforme</w:t>
      </w:r>
      <w:r w:rsidRPr="00704CAD">
        <w:rPr>
          <w:rFonts w:ascii="Times New Roman" w:eastAsia="Times New Roman" w:hAnsi="Times New Roman" w:cs="Times New Roman"/>
          <w:sz w:val="24"/>
          <w:szCs w:val="24"/>
          <w:lang w:eastAsia="pt-BR"/>
        </w:rPr>
        <w:t xml:space="preserve"> o P.700.1 - Formação da </w:t>
      </w:r>
      <w:r w:rsidRPr="006A7450">
        <w:rPr>
          <w:rFonts w:ascii="Times New Roman" w:eastAsia="Times New Roman" w:hAnsi="Times New Roman" w:cs="Times New Roman"/>
          <w:sz w:val="24"/>
          <w:szCs w:val="24"/>
          <w:lang w:eastAsia="pt-BR"/>
        </w:rPr>
        <w:t>Opinião (</w:t>
      </w:r>
      <w:r w:rsidR="00592EFB" w:rsidRPr="006A7450">
        <w:rPr>
          <w:rFonts w:ascii="Times New Roman" w:eastAsia="Times New Roman" w:hAnsi="Times New Roman" w:cs="Times New Roman"/>
          <w:sz w:val="24"/>
          <w:szCs w:val="24"/>
          <w:lang w:eastAsia="pt-BR"/>
        </w:rPr>
        <w:t>id.</w:t>
      </w:r>
      <w:r w:rsidR="006A7450" w:rsidRPr="006A7450">
        <w:rPr>
          <w:rFonts w:ascii="Times New Roman" w:hAnsi="Times New Roman" w:cs="Times New Roman"/>
          <w:sz w:val="24"/>
          <w:szCs w:val="24"/>
        </w:rPr>
        <w:t xml:space="preserve"> 1337284</w:t>
      </w:r>
      <w:r w:rsidR="00282D62" w:rsidRPr="006A7450">
        <w:rPr>
          <w:rFonts w:ascii="Times New Roman" w:eastAsia="Times New Roman" w:hAnsi="Times New Roman" w:cs="Times New Roman"/>
          <w:sz w:val="24"/>
          <w:szCs w:val="24"/>
          <w:lang w:eastAsia="pt-BR"/>
        </w:rPr>
        <w:t>).</w:t>
      </w:r>
    </w:p>
    <w:p w14:paraId="5497DF37" w14:textId="77777777" w:rsidR="00704CAD" w:rsidRDefault="00704CAD" w:rsidP="00747F11">
      <w:pPr>
        <w:ind w:right="119" w:firstLine="0"/>
        <w:jc w:val="both"/>
        <w:rPr>
          <w:rFonts w:ascii="Times New Roman" w:eastAsia="Times New Roman" w:hAnsi="Times New Roman" w:cs="Times New Roman"/>
          <w:sz w:val="24"/>
          <w:szCs w:val="24"/>
          <w:lang w:eastAsia="pt-BR"/>
        </w:rPr>
      </w:pPr>
      <w:bookmarkStart w:id="11" w:name="_Toc67067903"/>
      <w:bookmarkStart w:id="12" w:name="_Toc67066966"/>
      <w:bookmarkStart w:id="13" w:name="_Toc67064363"/>
      <w:bookmarkEnd w:id="11"/>
      <w:bookmarkEnd w:id="12"/>
    </w:p>
    <w:p w14:paraId="615B2FB9" w14:textId="77777777" w:rsidR="00A61C3A" w:rsidRPr="00B91548" w:rsidRDefault="00A61C3A" w:rsidP="004B1E97">
      <w:pPr>
        <w:spacing w:before="240"/>
        <w:ind w:right="120" w:firstLine="0"/>
        <w:jc w:val="both"/>
        <w:rPr>
          <w:rFonts w:ascii="Times New Roman" w:eastAsia="Times New Roman" w:hAnsi="Times New Roman" w:cs="Times New Roman"/>
          <w:sz w:val="24"/>
          <w:szCs w:val="24"/>
          <w:lang w:eastAsia="pt-BR"/>
        </w:rPr>
      </w:pPr>
      <w:r w:rsidRPr="00B91548">
        <w:rPr>
          <w:rFonts w:ascii="Times New Roman" w:eastAsia="Times New Roman" w:hAnsi="Times New Roman" w:cs="Times New Roman"/>
          <w:b/>
          <w:bCs/>
          <w:color w:val="000000"/>
          <w:sz w:val="24"/>
          <w:szCs w:val="24"/>
          <w:lang w:eastAsia="pt-BR"/>
        </w:rPr>
        <w:t>3.3</w:t>
      </w:r>
      <w:r w:rsidR="00C40E28">
        <w:rPr>
          <w:rFonts w:ascii="Times New Roman" w:eastAsia="Times New Roman" w:hAnsi="Times New Roman" w:cs="Times New Roman"/>
          <w:b/>
          <w:bCs/>
          <w:color w:val="000000"/>
          <w:sz w:val="24"/>
          <w:szCs w:val="24"/>
          <w:lang w:eastAsia="pt-BR"/>
        </w:rPr>
        <w:t>.</w:t>
      </w:r>
      <w:r w:rsidRPr="00B91548">
        <w:rPr>
          <w:rFonts w:ascii="Times New Roman" w:eastAsia="Times New Roman" w:hAnsi="Times New Roman" w:cs="Times New Roman"/>
          <w:b/>
          <w:bCs/>
          <w:color w:val="000000"/>
          <w:sz w:val="24"/>
          <w:szCs w:val="24"/>
          <w:lang w:eastAsia="pt-BR"/>
        </w:rPr>
        <w:t xml:space="preserve"> Não conformidades</w:t>
      </w:r>
      <w:bookmarkEnd w:id="13"/>
    </w:p>
    <w:p w14:paraId="0242B7E2" w14:textId="7B393BBD" w:rsidR="006A5B71" w:rsidRPr="007371E0" w:rsidRDefault="00A61C3A" w:rsidP="0063549E">
      <w:pPr>
        <w:spacing w:before="240"/>
        <w:ind w:right="119" w:firstLine="708"/>
        <w:jc w:val="both"/>
        <w:rPr>
          <w:rFonts w:ascii="Times New Roman" w:eastAsia="Times New Roman" w:hAnsi="Times New Roman" w:cs="Times New Roman"/>
          <w:sz w:val="24"/>
          <w:szCs w:val="24"/>
          <w:lang w:eastAsia="pt-BR"/>
        </w:rPr>
      </w:pPr>
      <w:r w:rsidRPr="00B91548">
        <w:rPr>
          <w:rFonts w:ascii="Times New Roman" w:eastAsia="Times New Roman" w:hAnsi="Times New Roman" w:cs="Times New Roman"/>
          <w:color w:val="000000"/>
          <w:sz w:val="24"/>
          <w:szCs w:val="24"/>
          <w:lang w:eastAsia="pt-BR"/>
        </w:rPr>
        <w:t>Os procedimentos de auditoria realizados na análise das transações subjacentes às demonstrações financeiras não constataram desvios relevantes de conformidade que pudessem afetar a tomada de decisões dos usuários das informações contábeis</w:t>
      </w:r>
      <w:r w:rsidRPr="004F05D4">
        <w:rPr>
          <w:rFonts w:ascii="Times New Roman" w:eastAsia="Times New Roman" w:hAnsi="Times New Roman" w:cs="Times New Roman"/>
          <w:color w:val="000000"/>
          <w:sz w:val="24"/>
          <w:szCs w:val="24"/>
          <w:lang w:eastAsia="pt-BR"/>
        </w:rPr>
        <w:t>.</w:t>
      </w:r>
      <w:r w:rsidR="004F05D4" w:rsidRPr="004F05D4">
        <w:rPr>
          <w:rFonts w:ascii="Times New Roman" w:eastAsia="Times New Roman" w:hAnsi="Times New Roman" w:cs="Times New Roman"/>
          <w:color w:val="000000"/>
          <w:sz w:val="24"/>
          <w:szCs w:val="24"/>
          <w:lang w:eastAsia="pt-BR"/>
        </w:rPr>
        <w:t xml:space="preserve"> </w:t>
      </w:r>
      <w:r w:rsidR="006A5B71" w:rsidRPr="007371E0">
        <w:rPr>
          <w:rFonts w:ascii="Times New Roman" w:eastAsia="Times New Roman" w:hAnsi="Times New Roman" w:cs="Times New Roman"/>
          <w:sz w:val="24"/>
          <w:szCs w:val="24"/>
          <w:lang w:eastAsia="pt-BR"/>
        </w:rPr>
        <w:t xml:space="preserve">Contudo, conforme </w:t>
      </w:r>
      <w:r w:rsidR="006A5B71" w:rsidRPr="007371E0">
        <w:rPr>
          <w:rFonts w:ascii="Times New Roman" w:eastAsia="Times New Roman" w:hAnsi="Times New Roman" w:cs="Times New Roman"/>
          <w:sz w:val="24"/>
          <w:szCs w:val="24"/>
          <w:lang w:eastAsia="pt-BR"/>
        </w:rPr>
        <w:lastRenderedPageBreak/>
        <w:t>destacado na Seção 4 deste relatório, foram identificadas algumas não conformidades relacionadas ao ciclo do patrimônio</w:t>
      </w:r>
      <w:r w:rsidR="00465DC5">
        <w:rPr>
          <w:rFonts w:ascii="Times New Roman" w:eastAsia="Times New Roman" w:hAnsi="Times New Roman" w:cs="Times New Roman"/>
          <w:sz w:val="24"/>
          <w:szCs w:val="24"/>
          <w:lang w:eastAsia="pt-BR"/>
        </w:rPr>
        <w:t xml:space="preserve"> para as quais </w:t>
      </w:r>
      <w:r w:rsidR="00115819" w:rsidRPr="007371E0">
        <w:rPr>
          <w:rFonts w:ascii="Times New Roman" w:eastAsia="Times New Roman" w:hAnsi="Times New Roman" w:cs="Times New Roman"/>
          <w:sz w:val="24"/>
          <w:szCs w:val="24"/>
          <w:lang w:eastAsia="pt-BR"/>
        </w:rPr>
        <w:t xml:space="preserve">foram apresentadas </w:t>
      </w:r>
      <w:r w:rsidR="0063549E" w:rsidRPr="007371E0">
        <w:rPr>
          <w:rFonts w:ascii="Times New Roman" w:eastAsia="Times New Roman" w:hAnsi="Times New Roman" w:cs="Times New Roman"/>
          <w:sz w:val="24"/>
          <w:szCs w:val="24"/>
          <w:lang w:eastAsia="pt-BR"/>
        </w:rPr>
        <w:t xml:space="preserve">propostas de encaminhamento </w:t>
      </w:r>
      <w:r w:rsidR="00115819" w:rsidRPr="007371E0">
        <w:rPr>
          <w:rFonts w:ascii="Times New Roman" w:eastAsia="Times New Roman" w:hAnsi="Times New Roman" w:cs="Times New Roman"/>
          <w:sz w:val="24"/>
          <w:szCs w:val="24"/>
          <w:lang w:eastAsia="pt-BR"/>
        </w:rPr>
        <w:t>com o objetivo de</w:t>
      </w:r>
      <w:r w:rsidR="006A5B71" w:rsidRPr="007371E0">
        <w:rPr>
          <w:rFonts w:ascii="Times New Roman" w:eastAsia="Times New Roman" w:hAnsi="Times New Roman" w:cs="Times New Roman"/>
          <w:sz w:val="24"/>
          <w:szCs w:val="24"/>
          <w:lang w:eastAsia="pt-BR"/>
        </w:rPr>
        <w:t xml:space="preserve"> agregar valor e aprimorar os controles internos, mitigando riscos futuros de eventuais distorções relevantes.</w:t>
      </w:r>
    </w:p>
    <w:p w14:paraId="54950D40" w14:textId="77777777" w:rsidR="006A5B71" w:rsidRDefault="006A5B71" w:rsidP="006A5B71">
      <w:pPr>
        <w:ind w:right="119"/>
        <w:jc w:val="both"/>
        <w:rPr>
          <w:rFonts w:ascii="Times New Roman" w:eastAsia="Times New Roman" w:hAnsi="Times New Roman" w:cs="Times New Roman"/>
          <w:color w:val="000000"/>
          <w:sz w:val="24"/>
          <w:szCs w:val="24"/>
          <w:lang w:eastAsia="pt-BR"/>
        </w:rPr>
      </w:pPr>
    </w:p>
    <w:p w14:paraId="752A3A46" w14:textId="77777777" w:rsidR="00A61C3A" w:rsidRPr="00B91548" w:rsidRDefault="00A61C3A" w:rsidP="004B1E97">
      <w:pPr>
        <w:spacing w:before="240"/>
        <w:ind w:right="119" w:firstLine="0"/>
        <w:jc w:val="both"/>
        <w:rPr>
          <w:rFonts w:ascii="Times New Roman" w:eastAsia="Times New Roman" w:hAnsi="Times New Roman" w:cs="Times New Roman"/>
          <w:sz w:val="24"/>
          <w:szCs w:val="24"/>
          <w:lang w:eastAsia="pt-BR"/>
        </w:rPr>
      </w:pPr>
      <w:r w:rsidRPr="00B91548">
        <w:rPr>
          <w:rFonts w:ascii="Times New Roman" w:eastAsia="Times New Roman" w:hAnsi="Times New Roman" w:cs="Times New Roman"/>
          <w:b/>
          <w:bCs/>
          <w:sz w:val="24"/>
          <w:szCs w:val="24"/>
          <w:lang w:eastAsia="pt-BR"/>
        </w:rPr>
        <w:t>4. DEFICIÊNCIAS SIGNIFICATIVAS DE CONTROLE INTERNO</w:t>
      </w:r>
    </w:p>
    <w:p w14:paraId="700A8118" w14:textId="77777777" w:rsidR="00A61C3A" w:rsidRPr="00A61C3A" w:rsidRDefault="002258B5" w:rsidP="00747F11">
      <w:pPr>
        <w:spacing w:before="240"/>
        <w:ind w:right="119"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Nesta</w:t>
      </w:r>
      <w:r w:rsidR="00A61C3A" w:rsidRPr="00B91548">
        <w:rPr>
          <w:rFonts w:ascii="Times New Roman" w:eastAsia="Times New Roman" w:hAnsi="Times New Roman" w:cs="Times New Roman"/>
          <w:sz w:val="24"/>
          <w:szCs w:val="24"/>
          <w:lang w:eastAsia="pt-BR"/>
        </w:rPr>
        <w:t xml:space="preserve"> seção são comunicadas as deficiências significativas de controles internos, entendendo-se como tal a deficiência ou a combinação de deficiências de controles internos que, no julgamento profissional do</w:t>
      </w:r>
      <w:r w:rsidR="00A61C3A" w:rsidRPr="00A61C3A">
        <w:rPr>
          <w:rFonts w:ascii="Times New Roman" w:eastAsia="Times New Roman" w:hAnsi="Times New Roman" w:cs="Times New Roman"/>
          <w:sz w:val="24"/>
          <w:szCs w:val="24"/>
          <w:lang w:eastAsia="pt-BR"/>
        </w:rPr>
        <w:t xml:space="preserve"> auditor, é de importância suficiente para merecer a atenção dos responsáveis pela governança (</w:t>
      </w:r>
      <w:hyperlink r:id="rId30" w:tgtFrame="_blank" w:history="1">
        <w:r w:rsidR="00A61C3A" w:rsidRPr="00A61C3A">
          <w:rPr>
            <w:rFonts w:ascii="Times New Roman" w:eastAsia="Times New Roman" w:hAnsi="Times New Roman" w:cs="Times New Roman"/>
            <w:color w:val="0000FF"/>
            <w:sz w:val="24"/>
            <w:szCs w:val="24"/>
            <w:u w:val="single"/>
            <w:lang w:eastAsia="pt-BR"/>
          </w:rPr>
          <w:t>NBC TA 265</w:t>
        </w:r>
      </w:hyperlink>
      <w:r w:rsidR="00C06460">
        <w:t>)</w:t>
      </w:r>
      <w:r w:rsidR="00FF4779">
        <w:rPr>
          <w:rFonts w:ascii="Times New Roman" w:eastAsia="Times New Roman" w:hAnsi="Times New Roman" w:cs="Times New Roman"/>
          <w:sz w:val="24"/>
          <w:szCs w:val="24"/>
          <w:lang w:eastAsia="pt-BR"/>
        </w:rPr>
        <w:t>, item 6,</w:t>
      </w:r>
      <w:r w:rsidR="00A61C3A" w:rsidRPr="00A61C3A">
        <w:rPr>
          <w:rFonts w:ascii="Times New Roman" w:eastAsia="Times New Roman" w:hAnsi="Times New Roman" w:cs="Times New Roman"/>
          <w:sz w:val="24"/>
          <w:szCs w:val="24"/>
          <w:lang w:eastAsia="pt-BR"/>
        </w:rPr>
        <w:t xml:space="preserve"> ou que devam ser comunicadas à administração nos termos do item 10 (a) e (b) da </w:t>
      </w:r>
      <w:r w:rsidR="00D576BB">
        <w:rPr>
          <w:rFonts w:ascii="Times New Roman" w:eastAsia="Times New Roman" w:hAnsi="Times New Roman" w:cs="Times New Roman"/>
          <w:sz w:val="24"/>
          <w:szCs w:val="24"/>
          <w:lang w:eastAsia="pt-BR"/>
        </w:rPr>
        <w:t xml:space="preserve">referida norma. </w:t>
      </w:r>
    </w:p>
    <w:p w14:paraId="5E0764B0" w14:textId="77777777" w:rsidR="0076381F" w:rsidRPr="00177AA9" w:rsidRDefault="0076381F" w:rsidP="00C92F95">
      <w:pPr>
        <w:ind w:right="119" w:firstLine="0"/>
        <w:jc w:val="both"/>
        <w:rPr>
          <w:rFonts w:ascii="Times New Roman" w:eastAsia="Times New Roman" w:hAnsi="Times New Roman" w:cs="Times New Roman"/>
          <w:color w:val="000000"/>
          <w:sz w:val="24"/>
          <w:szCs w:val="24"/>
          <w:lang w:eastAsia="pt-BR"/>
        </w:rPr>
      </w:pPr>
      <w:r w:rsidRPr="00177AA9">
        <w:rPr>
          <w:rFonts w:ascii="Times New Roman" w:eastAsia="Times New Roman" w:hAnsi="Times New Roman" w:cs="Times New Roman"/>
          <w:color w:val="000000"/>
          <w:sz w:val="24"/>
          <w:szCs w:val="24"/>
          <w:lang w:eastAsia="pt-BR"/>
        </w:rPr>
        <w:t> </w:t>
      </w:r>
    </w:p>
    <w:p w14:paraId="502440DA" w14:textId="4CD1B7ED" w:rsidR="00D72F5C" w:rsidRDefault="0076381F" w:rsidP="00387CA2">
      <w:pPr>
        <w:spacing w:before="240"/>
        <w:ind w:right="120" w:firstLine="0"/>
        <w:jc w:val="both"/>
        <w:rPr>
          <w:rFonts w:ascii="Times New Roman" w:eastAsia="Times New Roman" w:hAnsi="Times New Roman" w:cs="Times New Roman"/>
          <w:b/>
          <w:bCs/>
          <w:color w:val="000000"/>
          <w:sz w:val="24"/>
          <w:szCs w:val="24"/>
          <w:lang w:eastAsia="pt-BR"/>
        </w:rPr>
      </w:pPr>
      <w:r w:rsidRPr="00177AA9">
        <w:rPr>
          <w:rFonts w:ascii="Times New Roman" w:eastAsia="Times New Roman" w:hAnsi="Times New Roman" w:cs="Times New Roman"/>
          <w:b/>
          <w:bCs/>
          <w:color w:val="000000"/>
          <w:sz w:val="24"/>
          <w:szCs w:val="24"/>
          <w:lang w:eastAsia="pt-BR"/>
        </w:rPr>
        <w:t>4</w:t>
      </w:r>
      <w:r w:rsidRPr="002818A0">
        <w:rPr>
          <w:rFonts w:ascii="Times New Roman" w:eastAsia="Times New Roman" w:hAnsi="Times New Roman" w:cs="Times New Roman"/>
          <w:b/>
          <w:bCs/>
          <w:color w:val="000000"/>
          <w:sz w:val="24"/>
          <w:szCs w:val="24"/>
          <w:lang w:eastAsia="pt-BR"/>
        </w:rPr>
        <w:t xml:space="preserve">.1. </w:t>
      </w:r>
      <w:r w:rsidR="00DD1832" w:rsidRPr="00DD1832">
        <w:rPr>
          <w:rFonts w:ascii="Times New Roman" w:eastAsia="Times New Roman" w:hAnsi="Times New Roman" w:cs="Times New Roman"/>
          <w:b/>
          <w:bCs/>
          <w:color w:val="000000"/>
          <w:sz w:val="24"/>
          <w:szCs w:val="24"/>
          <w:lang w:eastAsia="pt-BR"/>
        </w:rPr>
        <w:t>Bens de pequeno valor registrado no ativo do Tribunal e da SJMG</w:t>
      </w:r>
    </w:p>
    <w:p w14:paraId="22585293" w14:textId="1A18F161" w:rsidR="00D951DD" w:rsidRDefault="00D951DD" w:rsidP="00D951DD">
      <w:pPr>
        <w:spacing w:before="240"/>
        <w:ind w:right="119"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Conforme registrado no item 3.3 do Relatório Preliminar de Comunicações de distorções (id. </w:t>
      </w:r>
      <w:r w:rsidRPr="00D951DD">
        <w:rPr>
          <w:rFonts w:ascii="Times New Roman" w:eastAsia="Times New Roman" w:hAnsi="Times New Roman" w:cs="Times New Roman"/>
          <w:color w:val="000000"/>
          <w:sz w:val="24"/>
          <w:szCs w:val="24"/>
          <w:lang w:eastAsia="pt-BR"/>
        </w:rPr>
        <w:t>1527726</w:t>
      </w:r>
      <w:r>
        <w:rPr>
          <w:rFonts w:ascii="Times New Roman" w:eastAsia="Times New Roman" w:hAnsi="Times New Roman" w:cs="Times New Roman"/>
          <w:color w:val="000000"/>
          <w:sz w:val="24"/>
          <w:szCs w:val="24"/>
          <w:lang w:eastAsia="pt-BR"/>
        </w:rPr>
        <w:t xml:space="preserve">), a equipe de auditoria </w:t>
      </w:r>
      <w:r w:rsidR="00654E7A">
        <w:rPr>
          <w:rFonts w:ascii="Times New Roman" w:eastAsia="Times New Roman" w:hAnsi="Times New Roman" w:cs="Times New Roman"/>
          <w:color w:val="000000"/>
          <w:sz w:val="24"/>
          <w:szCs w:val="24"/>
          <w:lang w:eastAsia="pt-BR"/>
        </w:rPr>
        <w:t>apontou</w:t>
      </w:r>
      <w:r>
        <w:rPr>
          <w:rFonts w:ascii="Times New Roman" w:eastAsia="Times New Roman" w:hAnsi="Times New Roman" w:cs="Times New Roman"/>
          <w:color w:val="000000"/>
          <w:sz w:val="24"/>
          <w:szCs w:val="24"/>
          <w:lang w:eastAsia="pt-BR"/>
        </w:rPr>
        <w:t xml:space="preserve"> a existência de grande quantidade de bens de pequeno valor contabilizados </w:t>
      </w:r>
      <w:r w:rsidRPr="00DD1832">
        <w:rPr>
          <w:rFonts w:ascii="Times New Roman" w:eastAsia="Times New Roman" w:hAnsi="Times New Roman" w:cs="Times New Roman"/>
          <w:color w:val="000000"/>
          <w:sz w:val="24"/>
          <w:szCs w:val="24"/>
          <w:lang w:eastAsia="pt-BR"/>
        </w:rPr>
        <w:t>na conta 12311.02.01 - Equipamentos de Informática</w:t>
      </w:r>
      <w:r w:rsidR="002501CF">
        <w:rPr>
          <w:rFonts w:ascii="Times New Roman" w:eastAsia="Times New Roman" w:hAnsi="Times New Roman" w:cs="Times New Roman"/>
          <w:color w:val="000000"/>
          <w:sz w:val="24"/>
          <w:szCs w:val="24"/>
          <w:lang w:eastAsia="pt-BR"/>
        </w:rPr>
        <w:t xml:space="preserve"> (id. </w:t>
      </w:r>
      <w:r w:rsidR="002501CF" w:rsidRPr="00B7185F">
        <w:rPr>
          <w:rFonts w:ascii="Times New Roman" w:eastAsia="Times New Roman" w:hAnsi="Times New Roman" w:cs="Times New Roman"/>
          <w:sz w:val="24"/>
          <w:szCs w:val="24"/>
          <w:lang w:eastAsia="pt-BR"/>
        </w:rPr>
        <w:t>1527037</w:t>
      </w:r>
      <w:r w:rsidR="002501C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que,</w:t>
      </w:r>
      <w:r w:rsidRPr="00DD1832">
        <w:rPr>
          <w:rFonts w:ascii="Times New Roman" w:eastAsia="Times New Roman" w:hAnsi="Times New Roman" w:cs="Times New Roman"/>
          <w:color w:val="000000"/>
          <w:sz w:val="24"/>
          <w:szCs w:val="24"/>
          <w:lang w:eastAsia="pt-BR"/>
        </w:rPr>
        <w:t xml:space="preserve"> de acordo com os §§ 1º e 2º do art. 2º da </w:t>
      </w:r>
      <w:hyperlink r:id="rId31" w:tgtFrame="_blank" w:history="1">
        <w:r w:rsidRPr="00DD1832">
          <w:rPr>
            <w:rStyle w:val="Hyperlink"/>
            <w:rFonts w:ascii="Times New Roman" w:eastAsia="Times New Roman" w:hAnsi="Times New Roman" w:cs="Times New Roman"/>
            <w:sz w:val="24"/>
            <w:szCs w:val="24"/>
            <w:lang w:eastAsia="pt-BR"/>
          </w:rPr>
          <w:t>Resolução CJF 880/2024</w:t>
        </w:r>
      </w:hyperlink>
      <w:r w:rsidRPr="00DD1832">
        <w:rPr>
          <w:rFonts w:ascii="Times New Roman" w:eastAsia="Times New Roman" w:hAnsi="Times New Roman" w:cs="Times New Roman"/>
          <w:color w:val="000000"/>
          <w:sz w:val="24"/>
          <w:szCs w:val="24"/>
          <w:lang w:eastAsia="pt-BR"/>
        </w:rPr>
        <w:t>, podem ser reclassificados como material de consumo, a critério da autoridade competente. A referida norma estabelece:</w:t>
      </w:r>
    </w:p>
    <w:p w14:paraId="6AA2F17B" w14:textId="77777777" w:rsidR="00DD1832" w:rsidRPr="00DD1832" w:rsidRDefault="00DD1832" w:rsidP="000A6A9F">
      <w:pPr>
        <w:spacing w:before="240"/>
        <w:ind w:left="2126"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Art. 2º Para fins desta Resolução, considera-se:</w:t>
      </w:r>
    </w:p>
    <w:p w14:paraId="0816FCDD" w14:textId="77777777" w:rsidR="00DD1832" w:rsidRPr="00DD1832" w:rsidRDefault="00DD1832" w:rsidP="000A6A9F">
      <w:pPr>
        <w:ind w:left="2126"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 1º Considera-se material de consumo aquele que atenda a pelo menos um dos critérios a seguir:</w:t>
      </w:r>
    </w:p>
    <w:p w14:paraId="74EF6374" w14:textId="77777777" w:rsidR="00DD1832" w:rsidRPr="00DD1832" w:rsidRDefault="00DD1832" w:rsidP="00436E39">
      <w:pPr>
        <w:ind w:left="2126"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b/>
          <w:bCs/>
          <w:color w:val="000000"/>
          <w:sz w:val="20"/>
          <w:szCs w:val="20"/>
          <w:lang w:eastAsia="pt-BR"/>
        </w:rPr>
        <w:t>I - de pequeno valor, cujo custo for igual ou inferior a 1% do limite fixado no art. 75, inciso II, da Lei n. 14.133/2021; </w:t>
      </w:r>
      <w:r w:rsidRPr="00DD1832">
        <w:rPr>
          <w:rFonts w:ascii="Times New Roman" w:eastAsia="Times New Roman" w:hAnsi="Times New Roman" w:cs="Times New Roman"/>
          <w:color w:val="000000"/>
          <w:sz w:val="20"/>
          <w:szCs w:val="20"/>
          <w:lang w:eastAsia="pt-BR"/>
        </w:rPr>
        <w:t>(grifo nosso)</w:t>
      </w:r>
    </w:p>
    <w:p w14:paraId="1EC749AF" w14:textId="77777777" w:rsidR="00DD1832" w:rsidRPr="00DD1832" w:rsidRDefault="00DD1832" w:rsidP="00436E39">
      <w:pPr>
        <w:ind w:left="2126"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II - durabilidade: se, em uso normal, perde ou tem reduzidas as suas condições de funcionamento, no prazo máximo de dois anos;</w:t>
      </w:r>
    </w:p>
    <w:p w14:paraId="5E6291D1" w14:textId="77777777" w:rsidR="00DD1832" w:rsidRPr="00DD1832" w:rsidRDefault="00DD1832" w:rsidP="00436E39">
      <w:pPr>
        <w:ind w:left="2126"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 xml:space="preserve">III - fragilidade: se sua estrutura for quebradiça, deformável ou </w:t>
      </w:r>
      <w:proofErr w:type="spellStart"/>
      <w:r w:rsidRPr="00DD1832">
        <w:rPr>
          <w:rFonts w:ascii="Times New Roman" w:eastAsia="Times New Roman" w:hAnsi="Times New Roman" w:cs="Times New Roman"/>
          <w:color w:val="000000"/>
          <w:sz w:val="20"/>
          <w:szCs w:val="20"/>
          <w:lang w:eastAsia="pt-BR"/>
        </w:rPr>
        <w:t>danificável</w:t>
      </w:r>
      <w:proofErr w:type="spellEnd"/>
      <w:r w:rsidRPr="00DD1832">
        <w:rPr>
          <w:rFonts w:ascii="Times New Roman" w:eastAsia="Times New Roman" w:hAnsi="Times New Roman" w:cs="Times New Roman"/>
          <w:color w:val="000000"/>
          <w:sz w:val="20"/>
          <w:szCs w:val="20"/>
          <w:lang w:eastAsia="pt-BR"/>
        </w:rPr>
        <w:t>, caracterizando sua irrecuperabilidade e perda de sua identidade ou funcionalidade;</w:t>
      </w:r>
    </w:p>
    <w:p w14:paraId="0680F790" w14:textId="77777777" w:rsidR="00DD1832" w:rsidRPr="00DD1832" w:rsidRDefault="00DD1832" w:rsidP="00436E39">
      <w:pPr>
        <w:ind w:left="2126"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IV - perecibilidade: se está sujeito a modificações (químicas ou físicas) ou se deteriora ou perde sua característica pelo uso normal;</w:t>
      </w:r>
    </w:p>
    <w:p w14:paraId="1CA613B9" w14:textId="77777777" w:rsidR="00DD1832" w:rsidRPr="00DD1832" w:rsidRDefault="00DD1832" w:rsidP="00436E39">
      <w:pPr>
        <w:ind w:left="2126"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 xml:space="preserve">V - </w:t>
      </w:r>
      <w:proofErr w:type="spellStart"/>
      <w:r w:rsidRPr="00DD1832">
        <w:rPr>
          <w:rFonts w:ascii="Times New Roman" w:eastAsia="Times New Roman" w:hAnsi="Times New Roman" w:cs="Times New Roman"/>
          <w:color w:val="000000"/>
          <w:sz w:val="20"/>
          <w:szCs w:val="20"/>
          <w:lang w:eastAsia="pt-BR"/>
        </w:rPr>
        <w:t>incorporabilidade</w:t>
      </w:r>
      <w:proofErr w:type="spellEnd"/>
      <w:r w:rsidRPr="00DD1832">
        <w:rPr>
          <w:rFonts w:ascii="Times New Roman" w:eastAsia="Times New Roman" w:hAnsi="Times New Roman" w:cs="Times New Roman"/>
          <w:color w:val="000000"/>
          <w:sz w:val="20"/>
          <w:szCs w:val="20"/>
          <w:lang w:eastAsia="pt-BR"/>
        </w:rPr>
        <w:t>: se está destinado à incorporação a outro bem permanente e não pode ser retirado sem prejuízo das características físicas e funcionais do principal;</w:t>
      </w:r>
    </w:p>
    <w:p w14:paraId="2A4F73D4" w14:textId="77777777" w:rsidR="00DD1832" w:rsidRPr="00DD1832" w:rsidRDefault="00DD1832" w:rsidP="00436E39">
      <w:pPr>
        <w:ind w:left="2126"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 xml:space="preserve">VI - </w:t>
      </w:r>
      <w:proofErr w:type="spellStart"/>
      <w:r w:rsidRPr="00DD1832">
        <w:rPr>
          <w:rFonts w:ascii="Times New Roman" w:eastAsia="Times New Roman" w:hAnsi="Times New Roman" w:cs="Times New Roman"/>
          <w:color w:val="000000"/>
          <w:sz w:val="20"/>
          <w:szCs w:val="20"/>
          <w:lang w:eastAsia="pt-BR"/>
        </w:rPr>
        <w:t>transformabilidade</w:t>
      </w:r>
      <w:proofErr w:type="spellEnd"/>
      <w:r w:rsidRPr="00DD1832">
        <w:rPr>
          <w:rFonts w:ascii="Times New Roman" w:eastAsia="Times New Roman" w:hAnsi="Times New Roman" w:cs="Times New Roman"/>
          <w:color w:val="000000"/>
          <w:sz w:val="20"/>
          <w:szCs w:val="20"/>
          <w:lang w:eastAsia="pt-BR"/>
        </w:rPr>
        <w:t>: se foi adquirido para fim de transformação.</w:t>
      </w:r>
    </w:p>
    <w:p w14:paraId="451B5AC4" w14:textId="77777777" w:rsidR="00DD1832" w:rsidRPr="00DD1832" w:rsidRDefault="00DD1832" w:rsidP="00436E39">
      <w:pPr>
        <w:ind w:left="2126"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b/>
          <w:bCs/>
          <w:color w:val="000000"/>
          <w:sz w:val="20"/>
          <w:szCs w:val="20"/>
          <w:lang w:eastAsia="pt-BR"/>
        </w:rPr>
        <w:t>§ 2º A critério da autoridade competente, após parecer da unidade de administração, os materiais de que trata o § 1º poderão receber tombamento patrimonial</w:t>
      </w:r>
      <w:r w:rsidRPr="00DD1832">
        <w:rPr>
          <w:rFonts w:ascii="Times New Roman" w:eastAsia="Times New Roman" w:hAnsi="Times New Roman" w:cs="Times New Roman"/>
          <w:color w:val="000000"/>
          <w:sz w:val="20"/>
          <w:szCs w:val="20"/>
          <w:lang w:eastAsia="pt-BR"/>
        </w:rPr>
        <w:t>. (grifo nosso)</w:t>
      </w:r>
    </w:p>
    <w:p w14:paraId="5739FD01" w14:textId="77777777" w:rsidR="00DD1832" w:rsidRPr="00DD1832" w:rsidRDefault="00DD1832" w:rsidP="00436E39">
      <w:pPr>
        <w:spacing w:before="240"/>
        <w:ind w:right="119" w:firstLine="708"/>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Atualmente, conforme o </w:t>
      </w:r>
      <w:hyperlink r:id="rId32" w:tgtFrame="_blank" w:history="1">
        <w:r w:rsidRPr="00DD1832">
          <w:rPr>
            <w:rStyle w:val="Hyperlink"/>
            <w:rFonts w:ascii="Times New Roman" w:eastAsia="Times New Roman" w:hAnsi="Times New Roman" w:cs="Times New Roman"/>
            <w:sz w:val="24"/>
            <w:szCs w:val="24"/>
            <w:lang w:eastAsia="pt-BR"/>
          </w:rPr>
          <w:t>Decreto nº 12.343, de 30/12/2024</w:t>
        </w:r>
      </w:hyperlink>
      <w:r w:rsidRPr="00DD1832">
        <w:rPr>
          <w:rFonts w:ascii="Times New Roman" w:eastAsia="Times New Roman" w:hAnsi="Times New Roman" w:cs="Times New Roman"/>
          <w:color w:val="000000"/>
          <w:sz w:val="24"/>
          <w:szCs w:val="24"/>
          <w:lang w:eastAsia="pt-BR"/>
        </w:rPr>
        <w:t>, o limite aplicável ao critério de pequeno valor corresponde a R$ 627,25. Assim, recomenda-se avaliar a possibilidade de reclassificar os bens de TIC com valores históricos até R$ 627,25 como materiais de consumo, em conformidade com o art. 2º da </w:t>
      </w:r>
      <w:hyperlink r:id="rId33" w:tgtFrame="_blank" w:history="1">
        <w:r w:rsidRPr="00DD1832">
          <w:rPr>
            <w:rStyle w:val="Hyperlink"/>
            <w:rFonts w:ascii="Times New Roman" w:eastAsia="Times New Roman" w:hAnsi="Times New Roman" w:cs="Times New Roman"/>
            <w:sz w:val="24"/>
            <w:szCs w:val="24"/>
            <w:lang w:eastAsia="pt-BR"/>
          </w:rPr>
          <w:t>Resolução CJF 880/2024</w:t>
        </w:r>
      </w:hyperlink>
      <w:r w:rsidRPr="00DD1832">
        <w:rPr>
          <w:rFonts w:ascii="Times New Roman" w:eastAsia="Times New Roman" w:hAnsi="Times New Roman" w:cs="Times New Roman"/>
          <w:color w:val="000000"/>
          <w:sz w:val="24"/>
          <w:szCs w:val="24"/>
          <w:lang w:eastAsia="pt-BR"/>
        </w:rPr>
        <w:t> e demais normas contábeis vigentes.</w:t>
      </w:r>
    </w:p>
    <w:p w14:paraId="66ABF2DE" w14:textId="77777777" w:rsidR="00DD1832" w:rsidRPr="00DD1832" w:rsidRDefault="00DD1832" w:rsidP="00436E39">
      <w:pPr>
        <w:spacing w:before="240"/>
        <w:ind w:right="119" w:firstLine="708"/>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Essa medida reduziria o controle operacional sobre itens de pequeno vulto, permitindo que os recursos tanto de tempo quanto de pessoal sejam direcionados ao controle dos bens permanentes de maior relevância e contribuindo para a melhoria da gestão patrimonial dos bens do TRF6 e da SJMG.</w:t>
      </w:r>
    </w:p>
    <w:p w14:paraId="6D9110E1" w14:textId="357A2306" w:rsidR="00DD1832" w:rsidRPr="00DD1832" w:rsidRDefault="00DD1832" w:rsidP="00716635">
      <w:pPr>
        <w:spacing w:before="240"/>
        <w:ind w:right="119" w:firstLine="708"/>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Situação semelhante foi verificada na análise do relatório de inventário de mobiliário geral (id. </w:t>
      </w:r>
      <w:r w:rsidRPr="00B7185F">
        <w:rPr>
          <w:rFonts w:ascii="Times New Roman" w:eastAsia="Times New Roman" w:hAnsi="Times New Roman" w:cs="Times New Roman"/>
          <w:sz w:val="24"/>
          <w:szCs w:val="24"/>
          <w:lang w:eastAsia="pt-BR"/>
        </w:rPr>
        <w:t>1527025</w:t>
      </w:r>
      <w:r w:rsidRPr="00DD1832">
        <w:rPr>
          <w:rFonts w:ascii="Times New Roman" w:eastAsia="Times New Roman" w:hAnsi="Times New Roman" w:cs="Times New Roman"/>
          <w:color w:val="000000"/>
          <w:sz w:val="24"/>
          <w:szCs w:val="24"/>
          <w:lang w:eastAsia="pt-BR"/>
        </w:rPr>
        <w:t>), no qual há diversos bens de valor irrisório, com custo inferior a R$ 627,75, passíveis de reclassificação, a critério da autoridade competente, conforme prevê a </w:t>
      </w:r>
      <w:hyperlink r:id="rId34" w:tgtFrame="_blank" w:history="1">
        <w:r w:rsidRPr="00DD1832">
          <w:rPr>
            <w:rStyle w:val="Hyperlink"/>
            <w:rFonts w:ascii="Times New Roman" w:eastAsia="Times New Roman" w:hAnsi="Times New Roman" w:cs="Times New Roman"/>
            <w:sz w:val="24"/>
            <w:szCs w:val="24"/>
            <w:lang w:eastAsia="pt-BR"/>
          </w:rPr>
          <w:t>Resolução CJF 880/2024</w:t>
        </w:r>
      </w:hyperlink>
      <w:r w:rsidRPr="00DD1832">
        <w:rPr>
          <w:rFonts w:ascii="Times New Roman" w:eastAsia="Times New Roman" w:hAnsi="Times New Roman" w:cs="Times New Roman"/>
          <w:color w:val="000000"/>
          <w:sz w:val="24"/>
          <w:szCs w:val="24"/>
          <w:lang w:eastAsia="pt-BR"/>
        </w:rPr>
        <w:t>.</w:t>
      </w:r>
    </w:p>
    <w:p w14:paraId="71416698" w14:textId="77777777" w:rsidR="00DD1832" w:rsidRPr="00DD1832" w:rsidRDefault="00DD1832" w:rsidP="00716635">
      <w:pPr>
        <w:spacing w:before="240"/>
        <w:ind w:right="119" w:firstLine="708"/>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Citam-se como exemplo os tombos abaixo relacionados, referente à amostra selecionada pela equipe de auditoria:</w:t>
      </w:r>
    </w:p>
    <w:p w14:paraId="7509D3EB" w14:textId="77777777" w:rsidR="00DD1832" w:rsidRPr="00DD1832" w:rsidRDefault="00DD1832" w:rsidP="00DD1832">
      <w:pPr>
        <w:ind w:left="119" w:right="119" w:firstLine="0"/>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b/>
          <w:bCs/>
          <w:color w:val="000000"/>
          <w:sz w:val="24"/>
          <w:szCs w:val="24"/>
          <w:lang w:eastAsia="pt-BR"/>
        </w:rPr>
        <w:lastRenderedPageBreak/>
        <w:t> </w:t>
      </w:r>
    </w:p>
    <w:p w14:paraId="1513E492" w14:textId="750EB33F"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b/>
          <w:bCs/>
          <w:color w:val="000000"/>
          <w:sz w:val="20"/>
          <w:szCs w:val="20"/>
          <w:lang w:eastAsia="pt-BR"/>
        </w:rPr>
        <w:t xml:space="preserve">Quadro </w:t>
      </w:r>
      <w:r w:rsidR="0013472F">
        <w:rPr>
          <w:rFonts w:ascii="Times New Roman" w:eastAsia="Times New Roman" w:hAnsi="Times New Roman" w:cs="Times New Roman"/>
          <w:b/>
          <w:bCs/>
          <w:color w:val="000000"/>
          <w:sz w:val="20"/>
          <w:szCs w:val="20"/>
          <w:lang w:eastAsia="pt-BR"/>
        </w:rPr>
        <w:t>3</w:t>
      </w:r>
      <w:r w:rsidRPr="00DD1832">
        <w:rPr>
          <w:rFonts w:ascii="Times New Roman" w:eastAsia="Times New Roman" w:hAnsi="Times New Roman" w:cs="Times New Roman"/>
          <w:b/>
          <w:bCs/>
          <w:color w:val="000000"/>
          <w:sz w:val="20"/>
          <w:szCs w:val="20"/>
          <w:lang w:eastAsia="pt-BR"/>
        </w:rPr>
        <w:t xml:space="preserve"> – Bens de pequeno valor registrados no SICAM (exemplificativo)</w:t>
      </w:r>
    </w:p>
    <w:tbl>
      <w:tblPr>
        <w:tblW w:w="935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77"/>
        <w:gridCol w:w="1701"/>
        <w:gridCol w:w="1276"/>
        <w:gridCol w:w="1843"/>
        <w:gridCol w:w="1559"/>
      </w:tblGrid>
      <w:tr w:rsidR="00DD1832" w:rsidRPr="00DD1832" w14:paraId="7271CC6A" w14:textId="77777777" w:rsidTr="00AE3005">
        <w:tc>
          <w:tcPr>
            <w:tcW w:w="9356" w:type="dxa"/>
            <w:gridSpan w:val="5"/>
            <w:tcBorders>
              <w:top w:val="nil"/>
              <w:left w:val="nil"/>
              <w:bottom w:val="nil"/>
              <w:right w:val="nil"/>
            </w:tcBorders>
            <w:tcMar>
              <w:top w:w="48" w:type="dxa"/>
              <w:left w:w="48" w:type="dxa"/>
              <w:bottom w:w="48" w:type="dxa"/>
              <w:right w:w="48" w:type="dxa"/>
            </w:tcMar>
            <w:vAlign w:val="center"/>
            <w:hideMark/>
          </w:tcPr>
          <w:p w14:paraId="373474CE" w14:textId="035FBDC0" w:rsidR="00DD1832" w:rsidRPr="00DD1832" w:rsidRDefault="00DD1832" w:rsidP="00716635">
            <w:pPr>
              <w:ind w:right="119" w:firstLine="0"/>
              <w:jc w:val="both"/>
              <w:rPr>
                <w:rFonts w:ascii="Times New Roman" w:eastAsia="Times New Roman" w:hAnsi="Times New Roman" w:cs="Times New Roman"/>
                <w:color w:val="000000"/>
                <w:sz w:val="20"/>
                <w:szCs w:val="20"/>
                <w:lang w:eastAsia="pt-BR"/>
              </w:rPr>
            </w:pPr>
          </w:p>
        </w:tc>
      </w:tr>
      <w:tr w:rsidR="00AE3005" w:rsidRPr="00DD1832" w14:paraId="10291AFF" w14:textId="77777777" w:rsidTr="00AE3005">
        <w:tc>
          <w:tcPr>
            <w:tcW w:w="2977" w:type="dxa"/>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12BBE696" w14:textId="77777777" w:rsidR="00DD1832" w:rsidRPr="00DD1832" w:rsidRDefault="00DD1832" w:rsidP="00AE300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b/>
                <w:bCs/>
                <w:color w:val="000000"/>
                <w:sz w:val="20"/>
                <w:szCs w:val="20"/>
                <w:lang w:eastAsia="pt-BR"/>
              </w:rPr>
              <w:t>Itens</w:t>
            </w:r>
          </w:p>
        </w:tc>
        <w:tc>
          <w:tcPr>
            <w:tcW w:w="1701" w:type="dxa"/>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4D89C782" w14:textId="77777777" w:rsidR="00DD1832" w:rsidRPr="00DD1832" w:rsidRDefault="00DD1832" w:rsidP="00AE300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b/>
                <w:bCs/>
                <w:color w:val="000000"/>
                <w:sz w:val="20"/>
                <w:szCs w:val="20"/>
                <w:lang w:eastAsia="pt-BR"/>
              </w:rPr>
              <w:t>Tombos</w:t>
            </w:r>
          </w:p>
        </w:tc>
        <w:tc>
          <w:tcPr>
            <w:tcW w:w="1276" w:type="dxa"/>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39B796DA" w14:textId="77777777" w:rsidR="00DD1832" w:rsidRPr="00DD1832" w:rsidRDefault="00DD1832" w:rsidP="00AE300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b/>
                <w:bCs/>
                <w:color w:val="000000"/>
                <w:sz w:val="20"/>
                <w:szCs w:val="20"/>
                <w:lang w:eastAsia="pt-BR"/>
              </w:rPr>
              <w:t>Data da NF</w:t>
            </w:r>
          </w:p>
        </w:tc>
        <w:tc>
          <w:tcPr>
            <w:tcW w:w="1843" w:type="dxa"/>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5322EDC1" w14:textId="77777777" w:rsidR="00DD1832" w:rsidRPr="00DD1832" w:rsidRDefault="00DD1832" w:rsidP="00AE300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b/>
                <w:bCs/>
                <w:color w:val="000000"/>
                <w:sz w:val="20"/>
                <w:szCs w:val="20"/>
                <w:lang w:eastAsia="pt-BR"/>
              </w:rPr>
              <w:t>Valor unitário histórico em R$</w:t>
            </w:r>
          </w:p>
        </w:tc>
        <w:tc>
          <w:tcPr>
            <w:tcW w:w="1559" w:type="dxa"/>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E07E6AB" w14:textId="77777777" w:rsidR="00DD1832" w:rsidRPr="00DD1832" w:rsidRDefault="00DD1832" w:rsidP="00AE300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b/>
                <w:bCs/>
                <w:color w:val="000000"/>
                <w:sz w:val="20"/>
                <w:szCs w:val="20"/>
                <w:lang w:eastAsia="pt-BR"/>
              </w:rPr>
              <w:t>Valor unitário contábil em R$</w:t>
            </w:r>
          </w:p>
        </w:tc>
      </w:tr>
      <w:tr w:rsidR="00AE3005" w:rsidRPr="00DD1832" w14:paraId="165E0ED7" w14:textId="77777777" w:rsidTr="00AE3005">
        <w:tc>
          <w:tcPr>
            <w:tcW w:w="2977"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3FD5945" w14:textId="77777777" w:rsidR="00DD1832" w:rsidRPr="00DD1832" w:rsidRDefault="00DD1832" w:rsidP="00DD1832">
            <w:pPr>
              <w:ind w:left="119"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67 cadeiras plásticas </w:t>
            </w:r>
          </w:p>
        </w:tc>
        <w:tc>
          <w:tcPr>
            <w:tcW w:w="1701"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9565B1E"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15410 a 15478</w:t>
            </w:r>
          </w:p>
        </w:tc>
        <w:tc>
          <w:tcPr>
            <w:tcW w:w="127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0F290CD"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30/08/2002</w:t>
            </w:r>
          </w:p>
        </w:tc>
        <w:tc>
          <w:tcPr>
            <w:tcW w:w="1843"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4A9C889"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18,00</w:t>
            </w:r>
          </w:p>
        </w:tc>
        <w:tc>
          <w:tcPr>
            <w:tcW w:w="1559"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07F153A"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18,00</w:t>
            </w:r>
          </w:p>
        </w:tc>
      </w:tr>
      <w:tr w:rsidR="00AE3005" w:rsidRPr="00DD1832" w14:paraId="4F4F45F1" w14:textId="77777777" w:rsidTr="00AE3005">
        <w:tc>
          <w:tcPr>
            <w:tcW w:w="2977"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16C0D7F" w14:textId="77777777" w:rsidR="00DD1832" w:rsidRPr="00DD1832" w:rsidRDefault="00DD1832" w:rsidP="00DD1832">
            <w:pPr>
              <w:ind w:left="119"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13 cadeiras plásticas</w:t>
            </w:r>
          </w:p>
        </w:tc>
        <w:tc>
          <w:tcPr>
            <w:tcW w:w="1701"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94E8E3E"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24019 a 24033</w:t>
            </w:r>
          </w:p>
        </w:tc>
        <w:tc>
          <w:tcPr>
            <w:tcW w:w="127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5B39079"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05/12/2005</w:t>
            </w:r>
          </w:p>
        </w:tc>
        <w:tc>
          <w:tcPr>
            <w:tcW w:w="1843"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4BA7BC1"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39,90</w:t>
            </w:r>
          </w:p>
        </w:tc>
        <w:tc>
          <w:tcPr>
            <w:tcW w:w="1559"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12A5017"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3,99</w:t>
            </w:r>
          </w:p>
        </w:tc>
      </w:tr>
      <w:tr w:rsidR="00AE3005" w:rsidRPr="00DD1832" w14:paraId="4E8372B6" w14:textId="77777777" w:rsidTr="00AE3005">
        <w:tc>
          <w:tcPr>
            <w:tcW w:w="2977"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F3B0240" w14:textId="77777777" w:rsidR="00DD1832" w:rsidRPr="00DD1832" w:rsidRDefault="00DD1832" w:rsidP="00DD1832">
            <w:pPr>
              <w:ind w:left="119"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3 mesas plásticas</w:t>
            </w:r>
          </w:p>
        </w:tc>
        <w:tc>
          <w:tcPr>
            <w:tcW w:w="1701"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5D20C13"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24015 a 24017</w:t>
            </w:r>
          </w:p>
        </w:tc>
        <w:tc>
          <w:tcPr>
            <w:tcW w:w="127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625D891"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05/12/2005</w:t>
            </w:r>
          </w:p>
        </w:tc>
        <w:tc>
          <w:tcPr>
            <w:tcW w:w="1843"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4F21E32"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52,00</w:t>
            </w:r>
          </w:p>
        </w:tc>
        <w:tc>
          <w:tcPr>
            <w:tcW w:w="1559"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77D571A"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5,20</w:t>
            </w:r>
          </w:p>
        </w:tc>
      </w:tr>
      <w:tr w:rsidR="00AE3005" w:rsidRPr="00DD1832" w14:paraId="605BDBBA" w14:textId="77777777" w:rsidTr="00AE3005">
        <w:tc>
          <w:tcPr>
            <w:tcW w:w="2977"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3D48A08" w14:textId="77777777" w:rsidR="00DD1832" w:rsidRPr="00DD1832" w:rsidRDefault="00DD1832" w:rsidP="00DD1832">
            <w:pPr>
              <w:ind w:left="119"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11 claviculários</w:t>
            </w:r>
          </w:p>
        </w:tc>
        <w:tc>
          <w:tcPr>
            <w:tcW w:w="1701"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BC02D8C"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27830 a 27840</w:t>
            </w:r>
          </w:p>
        </w:tc>
        <w:tc>
          <w:tcPr>
            <w:tcW w:w="127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6A02922"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24/07/2006</w:t>
            </w:r>
          </w:p>
        </w:tc>
        <w:tc>
          <w:tcPr>
            <w:tcW w:w="1843"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956A596"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240,00</w:t>
            </w:r>
          </w:p>
        </w:tc>
        <w:tc>
          <w:tcPr>
            <w:tcW w:w="1559"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C1B5A17"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24,00</w:t>
            </w:r>
          </w:p>
        </w:tc>
      </w:tr>
      <w:tr w:rsidR="00AE3005" w:rsidRPr="00DD1832" w14:paraId="1208343B" w14:textId="77777777" w:rsidTr="00AE3005">
        <w:tc>
          <w:tcPr>
            <w:tcW w:w="2977"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F095154" w14:textId="77777777" w:rsidR="00DD1832" w:rsidRPr="00DD1832" w:rsidRDefault="00DD1832" w:rsidP="00DD1832">
            <w:pPr>
              <w:ind w:left="119"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19 quadro de avisos em cortiça</w:t>
            </w:r>
          </w:p>
        </w:tc>
        <w:tc>
          <w:tcPr>
            <w:tcW w:w="1701"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381C66D"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13710 a 13729</w:t>
            </w:r>
          </w:p>
        </w:tc>
        <w:tc>
          <w:tcPr>
            <w:tcW w:w="1276"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4A6254F" w14:textId="77777777" w:rsidR="00DD1832" w:rsidRPr="00DD1832" w:rsidRDefault="00DD1832" w:rsidP="00716635">
            <w:pPr>
              <w:ind w:left="119" w:right="119" w:firstLine="0"/>
              <w:jc w:val="center"/>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05/09/2000</w:t>
            </w:r>
          </w:p>
        </w:tc>
        <w:tc>
          <w:tcPr>
            <w:tcW w:w="1843"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4F1F5C7"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44,00</w:t>
            </w:r>
          </w:p>
        </w:tc>
        <w:tc>
          <w:tcPr>
            <w:tcW w:w="1559"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16EC856" w14:textId="77777777" w:rsidR="00DD1832" w:rsidRPr="00DD1832" w:rsidRDefault="00DD1832" w:rsidP="00716635">
            <w:pPr>
              <w:ind w:left="119" w:right="119" w:firstLine="0"/>
              <w:jc w:val="right"/>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44,00</w:t>
            </w:r>
          </w:p>
        </w:tc>
      </w:tr>
    </w:tbl>
    <w:p w14:paraId="799453F2" w14:textId="3E997461" w:rsidR="00716635" w:rsidRPr="00716635" w:rsidRDefault="00716635" w:rsidP="00DD1832">
      <w:pPr>
        <w:ind w:left="119"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Fonte: Relatório de Inventário – Mobiliário Geral – SICAM (id. </w:t>
      </w:r>
      <w:r w:rsidRPr="00B7185F">
        <w:rPr>
          <w:rFonts w:ascii="Times New Roman" w:eastAsia="Times New Roman" w:hAnsi="Times New Roman" w:cs="Times New Roman"/>
          <w:sz w:val="20"/>
          <w:szCs w:val="20"/>
          <w:lang w:eastAsia="pt-BR"/>
        </w:rPr>
        <w:t>1527025</w:t>
      </w:r>
      <w:r w:rsidRPr="00DD1832">
        <w:rPr>
          <w:rFonts w:ascii="Times New Roman" w:eastAsia="Times New Roman" w:hAnsi="Times New Roman" w:cs="Times New Roman"/>
          <w:color w:val="000000"/>
          <w:sz w:val="20"/>
          <w:szCs w:val="20"/>
          <w:lang w:eastAsia="pt-BR"/>
        </w:rPr>
        <w:t>)</w:t>
      </w:r>
    </w:p>
    <w:p w14:paraId="2DF98499" w14:textId="77777777" w:rsidR="00716635" w:rsidRPr="00716635" w:rsidRDefault="00716635" w:rsidP="00DD1832">
      <w:pPr>
        <w:ind w:left="119" w:right="119" w:firstLine="0"/>
        <w:jc w:val="both"/>
        <w:rPr>
          <w:rFonts w:ascii="Times New Roman" w:eastAsia="Times New Roman" w:hAnsi="Times New Roman" w:cs="Times New Roman"/>
          <w:color w:val="000000"/>
          <w:sz w:val="20"/>
          <w:szCs w:val="20"/>
          <w:lang w:eastAsia="pt-BR"/>
        </w:rPr>
      </w:pPr>
    </w:p>
    <w:p w14:paraId="5FC87C9F" w14:textId="3F7DDA9E" w:rsidR="00DD1832" w:rsidRPr="00DD1832" w:rsidRDefault="00DD1832" w:rsidP="00D07FF7">
      <w:pPr>
        <w:spacing w:before="240"/>
        <w:ind w:right="119" w:firstLine="708"/>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Além desses itens, foram identificados bens com valor de R$ 0,01, com datas de cadastro entre 1967 e 1969, com mais de 50 anos de uso, cuja permanência no sistema patrimonial deve ser reavaliada, considerando-se a utilidade, a existência física e a razoabilidade de sua manutenção no sistema patrimonial.</w:t>
      </w:r>
    </w:p>
    <w:p w14:paraId="2961C627" w14:textId="77777777" w:rsidR="00DD1832" w:rsidRPr="00DD1832" w:rsidRDefault="00DD1832" w:rsidP="00D07FF7">
      <w:pPr>
        <w:spacing w:before="240"/>
        <w:ind w:right="119" w:firstLine="708"/>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Cumpre registrar que as análises da auditoria foram restritas às contas contábeis 12311.02.01 - Equipamentos de Informática e 12311.03.03 - Mobiliário em Geral, selecionadas pela materialidade. Contudo, as avaliações referentes à possibilidade de baixa ou reclassificação, a critério da administração, aplicam-se a todos os bens móveis do Tribunal e da SJMG.</w:t>
      </w:r>
    </w:p>
    <w:p w14:paraId="26FB94FF" w14:textId="733809F1" w:rsidR="00DD1832" w:rsidRPr="00DD1832" w:rsidRDefault="00DD1832" w:rsidP="00D07FF7">
      <w:pPr>
        <w:spacing w:before="240"/>
        <w:ind w:right="119" w:firstLine="708"/>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Vale destacar que, no âmbito do TRF1, houve recomendação para a baixa dos bens permanentes com valores históricos iguais ou inferiores ao limite de pequeno valor definido pela </w:t>
      </w:r>
      <w:hyperlink r:id="rId35" w:tgtFrame="_blank" w:history="1">
        <w:r w:rsidRPr="00DD1832">
          <w:rPr>
            <w:rStyle w:val="Hyperlink"/>
            <w:rFonts w:ascii="Times New Roman" w:eastAsia="Times New Roman" w:hAnsi="Times New Roman" w:cs="Times New Roman"/>
            <w:sz w:val="24"/>
            <w:szCs w:val="24"/>
            <w:lang w:eastAsia="pt-BR"/>
          </w:rPr>
          <w:t>Resolução CJF 880/2024</w:t>
        </w:r>
      </w:hyperlink>
      <w:r w:rsidRPr="00DD1832">
        <w:rPr>
          <w:rFonts w:ascii="Times New Roman" w:eastAsia="Times New Roman" w:hAnsi="Times New Roman" w:cs="Times New Roman"/>
          <w:color w:val="000000"/>
          <w:sz w:val="24"/>
          <w:szCs w:val="24"/>
          <w:lang w:eastAsia="pt-BR"/>
        </w:rPr>
        <w:t>, conforme </w:t>
      </w:r>
      <w:hyperlink r:id="rId36" w:tgtFrame="_blank" w:history="1">
        <w:r w:rsidRPr="00DD1832">
          <w:rPr>
            <w:rStyle w:val="Hyperlink"/>
            <w:rFonts w:ascii="Times New Roman" w:eastAsia="Times New Roman" w:hAnsi="Times New Roman" w:cs="Times New Roman"/>
            <w:sz w:val="24"/>
            <w:szCs w:val="24"/>
            <w:lang w:eastAsia="pt-BR"/>
          </w:rPr>
          <w:t>Relatório de Auditoria – Exercício 2024</w:t>
        </w:r>
      </w:hyperlink>
      <w:r w:rsidRPr="00DD1832">
        <w:rPr>
          <w:rFonts w:ascii="Times New Roman" w:eastAsia="Times New Roman" w:hAnsi="Times New Roman" w:cs="Times New Roman"/>
          <w:color w:val="000000"/>
          <w:sz w:val="24"/>
          <w:szCs w:val="24"/>
          <w:lang w:eastAsia="pt-BR"/>
        </w:rPr>
        <w:t>. Em algumas Seccionais do TRF1 a baixa desses bens já foi autorizada, conforme os documentos abaixo:</w:t>
      </w:r>
    </w:p>
    <w:p w14:paraId="1C8FB169" w14:textId="77777777" w:rsidR="00DD1832" w:rsidRPr="00DD1832" w:rsidRDefault="00DD1832" w:rsidP="00D07FF7">
      <w:pPr>
        <w:numPr>
          <w:ilvl w:val="0"/>
          <w:numId w:val="42"/>
        </w:numPr>
        <w:spacing w:before="240"/>
        <w:ind w:right="119"/>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Seção Judiciária do Mato Grosso – SJMT (id. 23827928/TRF1); e</w:t>
      </w:r>
    </w:p>
    <w:p w14:paraId="4F95DA84" w14:textId="77777777" w:rsidR="00DD1832" w:rsidRPr="00DD1832" w:rsidRDefault="00DD1832" w:rsidP="00D07FF7">
      <w:pPr>
        <w:numPr>
          <w:ilvl w:val="0"/>
          <w:numId w:val="42"/>
        </w:numPr>
        <w:spacing w:before="240"/>
        <w:ind w:right="119"/>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Seção Judiciária da Bahia - SJBA – (id. 22099486/TRF1).</w:t>
      </w:r>
    </w:p>
    <w:p w14:paraId="42ECDDD5" w14:textId="7E5188AC" w:rsidR="00DD1832" w:rsidRPr="00DD1832" w:rsidRDefault="00DD1832" w:rsidP="00D07FF7">
      <w:pPr>
        <w:spacing w:before="240"/>
        <w:ind w:left="119" w:right="119" w:firstLine="589"/>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No TRF6, por força do art. 205 do Regimento Interno, aplica-se a </w:t>
      </w:r>
      <w:hyperlink r:id="rId37" w:tgtFrame="_blank" w:history="1">
        <w:r w:rsidRPr="00DD1832">
          <w:rPr>
            <w:rStyle w:val="Hyperlink"/>
            <w:rFonts w:ascii="Times New Roman" w:eastAsia="Times New Roman" w:hAnsi="Times New Roman" w:cs="Times New Roman"/>
            <w:sz w:val="24"/>
            <w:szCs w:val="24"/>
            <w:lang w:eastAsia="pt-BR"/>
          </w:rPr>
          <w:t> IN 14-15</w:t>
        </w:r>
      </w:hyperlink>
      <w:r w:rsidRPr="00DD1832">
        <w:rPr>
          <w:rFonts w:ascii="Times New Roman" w:eastAsia="Times New Roman" w:hAnsi="Times New Roman" w:cs="Times New Roman"/>
          <w:color w:val="000000"/>
          <w:sz w:val="24"/>
          <w:szCs w:val="24"/>
          <w:lang w:eastAsia="pt-BR"/>
        </w:rPr>
        <w:t> do TRF1, que disciplina o controle de material permanente. Assim, torna-se necessário acompanhar eventuais alterações que venham a ser promovidas pelo TRF1 decorrentes da aplicação da </w:t>
      </w:r>
      <w:hyperlink r:id="rId38" w:tgtFrame="_blank" w:history="1">
        <w:r w:rsidRPr="00DD1832">
          <w:rPr>
            <w:rStyle w:val="Hyperlink"/>
            <w:rFonts w:ascii="Times New Roman" w:eastAsia="Times New Roman" w:hAnsi="Times New Roman" w:cs="Times New Roman"/>
            <w:sz w:val="24"/>
            <w:szCs w:val="24"/>
            <w:lang w:eastAsia="pt-BR"/>
          </w:rPr>
          <w:t>Resolução CJF 880/2024</w:t>
        </w:r>
      </w:hyperlink>
      <w:r w:rsidRPr="00DD1832">
        <w:rPr>
          <w:rFonts w:ascii="Times New Roman" w:eastAsia="Times New Roman" w:hAnsi="Times New Roman" w:cs="Times New Roman"/>
          <w:color w:val="000000"/>
          <w:sz w:val="24"/>
          <w:szCs w:val="24"/>
          <w:lang w:eastAsia="pt-BR"/>
        </w:rPr>
        <w:t>. Ressalta-se que a DICOC/TRF1 recomendou à DIMAP/TRF1 a atualização da</w:t>
      </w:r>
      <w:hyperlink r:id="rId39" w:tgtFrame="_blank" w:history="1">
        <w:r w:rsidRPr="00DD1832">
          <w:rPr>
            <w:rStyle w:val="Hyperlink"/>
            <w:rFonts w:ascii="Times New Roman" w:eastAsia="Times New Roman" w:hAnsi="Times New Roman" w:cs="Times New Roman"/>
            <w:sz w:val="24"/>
            <w:szCs w:val="24"/>
            <w:lang w:eastAsia="pt-BR"/>
          </w:rPr>
          <w:t>  IN 14-15</w:t>
        </w:r>
      </w:hyperlink>
      <w:r w:rsidRPr="00DD1832">
        <w:rPr>
          <w:rFonts w:ascii="Times New Roman" w:eastAsia="Times New Roman" w:hAnsi="Times New Roman" w:cs="Times New Roman"/>
          <w:color w:val="000000"/>
          <w:sz w:val="24"/>
          <w:szCs w:val="24"/>
          <w:lang w:eastAsia="pt-BR"/>
        </w:rPr>
        <w:t>, conforme documento (id. 21089017/TRF1).</w:t>
      </w:r>
    </w:p>
    <w:p w14:paraId="14071317" w14:textId="77777777" w:rsidR="00DD1832" w:rsidRPr="00DD1832" w:rsidRDefault="00DD1832" w:rsidP="00D07FF7">
      <w:pPr>
        <w:spacing w:before="240"/>
        <w:ind w:left="119" w:right="119" w:firstLine="589"/>
        <w:jc w:val="both"/>
        <w:rPr>
          <w:rFonts w:ascii="Times New Roman" w:eastAsia="Times New Roman" w:hAnsi="Times New Roman" w:cs="Times New Roman"/>
          <w:color w:val="000000"/>
          <w:sz w:val="24"/>
          <w:szCs w:val="24"/>
          <w:lang w:eastAsia="pt-BR"/>
        </w:rPr>
      </w:pPr>
      <w:r w:rsidRPr="00DD1832">
        <w:rPr>
          <w:rFonts w:ascii="Times New Roman" w:eastAsia="Times New Roman" w:hAnsi="Times New Roman" w:cs="Times New Roman"/>
          <w:color w:val="000000"/>
          <w:sz w:val="24"/>
          <w:szCs w:val="24"/>
          <w:lang w:eastAsia="pt-BR"/>
        </w:rPr>
        <w:t>Por fim, caso a Administração do TRF6 opte pela aplicação da </w:t>
      </w:r>
      <w:hyperlink r:id="rId40" w:tgtFrame="_blank" w:history="1">
        <w:r w:rsidRPr="00DD1832">
          <w:rPr>
            <w:rStyle w:val="Hyperlink"/>
            <w:rFonts w:ascii="Times New Roman" w:eastAsia="Times New Roman" w:hAnsi="Times New Roman" w:cs="Times New Roman"/>
            <w:sz w:val="24"/>
            <w:szCs w:val="24"/>
            <w:lang w:eastAsia="pt-BR"/>
          </w:rPr>
          <w:t>Resolução CJF 880/2024</w:t>
        </w:r>
      </w:hyperlink>
      <w:r w:rsidRPr="00DD1832">
        <w:rPr>
          <w:rFonts w:ascii="Times New Roman" w:eastAsia="Times New Roman" w:hAnsi="Times New Roman" w:cs="Times New Roman"/>
          <w:color w:val="000000"/>
          <w:sz w:val="24"/>
          <w:szCs w:val="24"/>
          <w:lang w:eastAsia="pt-BR"/>
        </w:rPr>
        <w:t>, é fundamental considerar </w:t>
      </w:r>
      <w:r w:rsidRPr="00DD1832">
        <w:rPr>
          <w:rFonts w:ascii="Times New Roman" w:eastAsia="Times New Roman" w:hAnsi="Times New Roman" w:cs="Times New Roman"/>
          <w:b/>
          <w:bCs/>
          <w:color w:val="000000"/>
          <w:sz w:val="24"/>
          <w:szCs w:val="24"/>
          <w:lang w:eastAsia="pt-BR"/>
        </w:rPr>
        <w:t>o valor histórico </w:t>
      </w:r>
      <w:r w:rsidRPr="00DD1832">
        <w:rPr>
          <w:rFonts w:ascii="Times New Roman" w:eastAsia="Times New Roman" w:hAnsi="Times New Roman" w:cs="Times New Roman"/>
          <w:color w:val="000000"/>
          <w:sz w:val="24"/>
          <w:szCs w:val="24"/>
          <w:lang w:eastAsia="pt-BR"/>
        </w:rPr>
        <w:t>dos bens para subsidiar a decisão quanto à sua reclassificação. Ressalte-se que os relatórios de inventários do SICAM apresentam, em alguns casos, o </w:t>
      </w:r>
      <w:r w:rsidRPr="00DD1832">
        <w:rPr>
          <w:rFonts w:ascii="Times New Roman" w:eastAsia="Times New Roman" w:hAnsi="Times New Roman" w:cs="Times New Roman"/>
          <w:b/>
          <w:bCs/>
          <w:color w:val="000000"/>
          <w:sz w:val="24"/>
          <w:szCs w:val="24"/>
          <w:lang w:eastAsia="pt-BR"/>
        </w:rPr>
        <w:t>valor líquido contábil</w:t>
      </w:r>
      <w:r w:rsidRPr="00DD1832">
        <w:rPr>
          <w:rFonts w:ascii="Times New Roman" w:eastAsia="Times New Roman" w:hAnsi="Times New Roman" w:cs="Times New Roman"/>
          <w:color w:val="000000"/>
          <w:sz w:val="24"/>
          <w:szCs w:val="24"/>
          <w:lang w:eastAsia="pt-BR"/>
        </w:rPr>
        <w:t> ou </w:t>
      </w:r>
      <w:r w:rsidRPr="00DD1832">
        <w:rPr>
          <w:rFonts w:ascii="Times New Roman" w:eastAsia="Times New Roman" w:hAnsi="Times New Roman" w:cs="Times New Roman"/>
          <w:b/>
          <w:bCs/>
          <w:color w:val="000000"/>
          <w:sz w:val="24"/>
          <w:szCs w:val="24"/>
          <w:lang w:eastAsia="pt-BR"/>
        </w:rPr>
        <w:t>valor avaliado</w:t>
      </w:r>
      <w:r w:rsidRPr="00DD1832">
        <w:rPr>
          <w:rFonts w:ascii="Times New Roman" w:eastAsia="Times New Roman" w:hAnsi="Times New Roman" w:cs="Times New Roman"/>
          <w:color w:val="000000"/>
          <w:sz w:val="24"/>
          <w:szCs w:val="24"/>
          <w:lang w:eastAsia="pt-BR"/>
        </w:rPr>
        <w:t>, e não o valor histórico, em razão das regras estabelecidas o art. 2º da </w:t>
      </w:r>
      <w:hyperlink r:id="rId41" w:tgtFrame="_blank" w:history="1">
        <w:r w:rsidRPr="00DD1832">
          <w:rPr>
            <w:rStyle w:val="Hyperlink"/>
            <w:rFonts w:ascii="Times New Roman" w:eastAsia="Times New Roman" w:hAnsi="Times New Roman" w:cs="Times New Roman"/>
            <w:sz w:val="24"/>
            <w:szCs w:val="24"/>
            <w:lang w:eastAsia="pt-BR"/>
          </w:rPr>
          <w:t>Portaria Presi nº 3.230.585, de 16/12/2006</w:t>
        </w:r>
      </w:hyperlink>
      <w:r w:rsidRPr="00DD1832">
        <w:rPr>
          <w:rFonts w:ascii="Times New Roman" w:eastAsia="Times New Roman" w:hAnsi="Times New Roman" w:cs="Times New Roman"/>
          <w:color w:val="000000"/>
          <w:sz w:val="24"/>
          <w:szCs w:val="24"/>
          <w:lang w:eastAsia="pt-BR"/>
        </w:rPr>
        <w:t>, transcritas a seguir:</w:t>
      </w:r>
    </w:p>
    <w:p w14:paraId="6E74239B" w14:textId="77777777" w:rsidR="00DD1832" w:rsidRPr="00DD1832" w:rsidRDefault="00DD1832" w:rsidP="00D07FF7">
      <w:pPr>
        <w:spacing w:before="240"/>
        <w:ind w:left="2124" w:right="119" w:firstLine="0"/>
        <w:jc w:val="both"/>
        <w:rPr>
          <w:rFonts w:ascii="Times New Roman" w:eastAsia="Times New Roman" w:hAnsi="Times New Roman" w:cs="Times New Roman"/>
          <w:color w:val="000000"/>
          <w:sz w:val="20"/>
          <w:szCs w:val="20"/>
          <w:lang w:eastAsia="pt-BR"/>
        </w:rPr>
      </w:pPr>
      <w:r w:rsidRPr="00DD1832">
        <w:rPr>
          <w:rFonts w:ascii="Times New Roman" w:eastAsia="Times New Roman" w:hAnsi="Times New Roman" w:cs="Times New Roman"/>
          <w:color w:val="000000"/>
          <w:sz w:val="20"/>
          <w:szCs w:val="20"/>
          <w:lang w:eastAsia="pt-BR"/>
        </w:rPr>
        <w:t>Art. 2º Estabelecer as seguintes regras de reavaliação dos bens colocados em uso antes de 2010</w:t>
      </w:r>
      <w:r w:rsidRPr="00DD1832">
        <w:rPr>
          <w:rFonts w:ascii="Times New Roman" w:eastAsia="Times New Roman" w:hAnsi="Times New Roman" w:cs="Times New Roman"/>
          <w:b/>
          <w:bCs/>
          <w:color w:val="000000"/>
          <w:sz w:val="20"/>
          <w:szCs w:val="20"/>
          <w:lang w:eastAsia="pt-BR"/>
        </w:rPr>
        <w:t>:</w:t>
      </w:r>
      <w:r w:rsidRPr="00DD1832">
        <w:rPr>
          <w:rFonts w:ascii="Times New Roman" w:eastAsia="Times New Roman" w:hAnsi="Times New Roman" w:cs="Times New Roman"/>
          <w:color w:val="000000"/>
          <w:sz w:val="20"/>
          <w:szCs w:val="20"/>
          <w:lang w:eastAsia="pt-BR"/>
        </w:rPr>
        <w:br/>
        <w:t>I – bens anteriores a 2005 devem permanecer pelo valor histórico;</w:t>
      </w:r>
      <w:r w:rsidRPr="00DD1832">
        <w:rPr>
          <w:rFonts w:ascii="Times New Roman" w:eastAsia="Times New Roman" w:hAnsi="Times New Roman" w:cs="Times New Roman"/>
          <w:color w:val="000000"/>
          <w:sz w:val="20"/>
          <w:szCs w:val="20"/>
          <w:lang w:eastAsia="pt-BR"/>
        </w:rPr>
        <w:br/>
        <w:t>II – bens com entrada entre 2005 e 2009:</w:t>
      </w:r>
      <w:r w:rsidRPr="00DD1832">
        <w:rPr>
          <w:rFonts w:ascii="Times New Roman" w:eastAsia="Times New Roman" w:hAnsi="Times New Roman" w:cs="Times New Roman"/>
          <w:color w:val="000000"/>
          <w:sz w:val="20"/>
          <w:szCs w:val="20"/>
          <w:lang w:eastAsia="pt-BR"/>
        </w:rPr>
        <w:br/>
        <w:t>a) aplicar o índice de depreciação aos bens com vida útil a expirar;</w:t>
      </w:r>
      <w:r w:rsidRPr="00DD1832">
        <w:rPr>
          <w:rFonts w:ascii="Times New Roman" w:eastAsia="Times New Roman" w:hAnsi="Times New Roman" w:cs="Times New Roman"/>
          <w:color w:val="000000"/>
          <w:sz w:val="20"/>
          <w:szCs w:val="20"/>
          <w:lang w:eastAsia="pt-BR"/>
        </w:rPr>
        <w:br/>
        <w:t>b) considerar o valor residual para bens com vida útil expirada;</w:t>
      </w:r>
      <w:r w:rsidRPr="00DD1832">
        <w:rPr>
          <w:rFonts w:ascii="Times New Roman" w:eastAsia="Times New Roman" w:hAnsi="Times New Roman" w:cs="Times New Roman"/>
          <w:color w:val="000000"/>
          <w:sz w:val="20"/>
          <w:szCs w:val="20"/>
          <w:lang w:eastAsia="pt-BR"/>
        </w:rPr>
        <w:br/>
        <w:t>c) atribuir valor equivalente aos bens semelhantes e contemporâneos para itens de valor irrisório;</w:t>
      </w:r>
      <w:r w:rsidRPr="00DD1832">
        <w:rPr>
          <w:rFonts w:ascii="Times New Roman" w:eastAsia="Times New Roman" w:hAnsi="Times New Roman" w:cs="Times New Roman"/>
          <w:color w:val="000000"/>
          <w:sz w:val="20"/>
          <w:szCs w:val="20"/>
          <w:lang w:eastAsia="pt-BR"/>
        </w:rPr>
        <w:br/>
        <w:t>d) atribuir valor de R$ 1,00 para livros com vida útil expirada integrantes do acervo da biblioteca;</w:t>
      </w:r>
      <w:r w:rsidRPr="00DD1832">
        <w:rPr>
          <w:rFonts w:ascii="Times New Roman" w:eastAsia="Times New Roman" w:hAnsi="Times New Roman" w:cs="Times New Roman"/>
          <w:color w:val="000000"/>
          <w:sz w:val="20"/>
          <w:szCs w:val="20"/>
          <w:lang w:eastAsia="pt-BR"/>
        </w:rPr>
        <w:br/>
        <w:t>e) aplicar tabela Fipe para veículos automotivos.</w:t>
      </w:r>
    </w:p>
    <w:p w14:paraId="42B4C48E" w14:textId="78101C38" w:rsidR="00E05054" w:rsidRDefault="00E702F3" w:rsidP="00B57EA7">
      <w:pPr>
        <w:spacing w:before="240"/>
        <w:ind w:right="119"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Na manifestação SUMES (id. </w:t>
      </w:r>
      <w:r w:rsidRPr="00E702F3">
        <w:rPr>
          <w:rFonts w:ascii="Times New Roman" w:eastAsia="Times New Roman" w:hAnsi="Times New Roman" w:cs="Times New Roman"/>
          <w:color w:val="000000"/>
          <w:sz w:val="24"/>
          <w:szCs w:val="24"/>
          <w:lang w:eastAsia="pt-BR"/>
        </w:rPr>
        <w:t>1564705</w:t>
      </w:r>
      <w:r>
        <w:rPr>
          <w:rFonts w:ascii="Times New Roman" w:eastAsia="Times New Roman" w:hAnsi="Times New Roman" w:cs="Times New Roman"/>
          <w:color w:val="000000"/>
          <w:sz w:val="24"/>
          <w:szCs w:val="24"/>
          <w:lang w:eastAsia="pt-BR"/>
        </w:rPr>
        <w:t>)</w:t>
      </w:r>
      <w:r w:rsidR="00E05054" w:rsidRPr="00E05054">
        <w:rPr>
          <w:rFonts w:ascii="Times New Roman" w:eastAsia="Times New Roman" w:hAnsi="Times New Roman" w:cs="Times New Roman"/>
          <w:color w:val="000000"/>
          <w:sz w:val="24"/>
          <w:szCs w:val="24"/>
          <w:lang w:eastAsia="pt-BR"/>
        </w:rPr>
        <w:t>, a unidade auditada apresentou justificativas e destacou limitações estruturais relacionadas, sobretudo, ao reduzido quadro de pessoal, à utilização de sistema patrimonial defasado e à postergação da implantação de novo sistema integrado de gestão patrimonial.</w:t>
      </w:r>
    </w:p>
    <w:p w14:paraId="19A8B072" w14:textId="088795D5" w:rsidR="00E05054" w:rsidRDefault="00022583" w:rsidP="00E05054">
      <w:pPr>
        <w:spacing w:before="240"/>
        <w:ind w:right="119" w:firstLine="708"/>
        <w:jc w:val="both"/>
        <w:rPr>
          <w:rFonts w:ascii="Times New Roman" w:eastAsia="Times New Roman" w:hAnsi="Times New Roman" w:cs="Times New Roman"/>
          <w:color w:val="000000"/>
          <w:sz w:val="24"/>
          <w:szCs w:val="24"/>
          <w:lang w:eastAsia="pt-BR"/>
        </w:rPr>
      </w:pPr>
      <w:r w:rsidRPr="00022583">
        <w:rPr>
          <w:rFonts w:ascii="Times New Roman" w:eastAsia="Times New Roman" w:hAnsi="Times New Roman" w:cs="Times New Roman"/>
          <w:color w:val="000000"/>
          <w:sz w:val="24"/>
          <w:szCs w:val="24"/>
          <w:lang w:eastAsia="pt-BR"/>
        </w:rPr>
        <w:t>Ainda que consideradas as justificativas apresentadas,</w:t>
      </w:r>
      <w:r>
        <w:rPr>
          <w:rFonts w:ascii="Times New Roman" w:eastAsia="Times New Roman" w:hAnsi="Times New Roman" w:cs="Times New Roman"/>
          <w:color w:val="000000"/>
          <w:sz w:val="24"/>
          <w:szCs w:val="24"/>
          <w:lang w:eastAsia="pt-BR"/>
        </w:rPr>
        <w:t xml:space="preserve"> </w:t>
      </w:r>
      <w:r w:rsidR="00E05054" w:rsidRPr="00E05054">
        <w:rPr>
          <w:rFonts w:ascii="Times New Roman" w:eastAsia="Times New Roman" w:hAnsi="Times New Roman" w:cs="Times New Roman"/>
          <w:color w:val="000000"/>
          <w:sz w:val="24"/>
          <w:szCs w:val="24"/>
          <w:lang w:eastAsia="pt-BR"/>
        </w:rPr>
        <w:t>reitera-se a recomendação para que a administração avalie a possibilidade de realizar a reclassificação dos referidos bens, observadas as disposições normativas aplicáveis, como medida de aprimoramento dos controles patrimoniais.</w:t>
      </w:r>
    </w:p>
    <w:p w14:paraId="24C60710" w14:textId="77777777" w:rsidR="00E05054" w:rsidRPr="00E05054" w:rsidRDefault="00E05054" w:rsidP="00E05054">
      <w:pPr>
        <w:ind w:right="119"/>
        <w:jc w:val="both"/>
        <w:rPr>
          <w:rFonts w:ascii="Times New Roman" w:eastAsia="Times New Roman" w:hAnsi="Times New Roman" w:cs="Times New Roman"/>
          <w:color w:val="000000"/>
          <w:sz w:val="24"/>
          <w:szCs w:val="24"/>
          <w:lang w:eastAsia="pt-BR"/>
        </w:rPr>
      </w:pPr>
    </w:p>
    <w:p w14:paraId="31BEF4C4" w14:textId="18B2AD22" w:rsidR="0076381F" w:rsidRPr="00177AA9" w:rsidRDefault="0076381F" w:rsidP="004B1E97">
      <w:pPr>
        <w:spacing w:before="240"/>
        <w:ind w:right="120" w:firstLine="0"/>
        <w:jc w:val="both"/>
        <w:rPr>
          <w:rFonts w:ascii="Times New Roman" w:eastAsia="Times New Roman" w:hAnsi="Times New Roman" w:cs="Times New Roman"/>
          <w:color w:val="000000"/>
          <w:sz w:val="24"/>
          <w:szCs w:val="24"/>
          <w:lang w:eastAsia="pt-BR"/>
        </w:rPr>
      </w:pPr>
      <w:r w:rsidRPr="00177AA9">
        <w:rPr>
          <w:rFonts w:ascii="Times New Roman" w:eastAsia="Times New Roman" w:hAnsi="Times New Roman" w:cs="Times New Roman"/>
          <w:b/>
          <w:bCs/>
          <w:color w:val="000000"/>
          <w:sz w:val="24"/>
          <w:szCs w:val="24"/>
          <w:lang w:eastAsia="pt-BR"/>
        </w:rPr>
        <w:t>PROPOSTA</w:t>
      </w:r>
      <w:r>
        <w:rPr>
          <w:rFonts w:ascii="Times New Roman" w:eastAsia="Times New Roman" w:hAnsi="Times New Roman" w:cs="Times New Roman"/>
          <w:b/>
          <w:bCs/>
          <w:color w:val="000000"/>
          <w:sz w:val="24"/>
          <w:szCs w:val="24"/>
          <w:lang w:eastAsia="pt-BR"/>
        </w:rPr>
        <w:t>S</w:t>
      </w:r>
      <w:r w:rsidRPr="00177AA9">
        <w:rPr>
          <w:rFonts w:ascii="Times New Roman" w:eastAsia="Times New Roman" w:hAnsi="Times New Roman" w:cs="Times New Roman"/>
          <w:b/>
          <w:bCs/>
          <w:color w:val="000000"/>
          <w:sz w:val="24"/>
          <w:szCs w:val="24"/>
          <w:lang w:eastAsia="pt-BR"/>
        </w:rPr>
        <w:t xml:space="preserve"> DE ENCAMINHAMENTO</w:t>
      </w:r>
    </w:p>
    <w:p w14:paraId="03D61460" w14:textId="5E7B92D2" w:rsidR="0076381F" w:rsidRPr="00177AA9" w:rsidRDefault="0034481E" w:rsidP="00F0437A">
      <w:pPr>
        <w:pStyle w:val="PargrafodaLista"/>
        <w:numPr>
          <w:ilvl w:val="0"/>
          <w:numId w:val="34"/>
        </w:numPr>
        <w:tabs>
          <w:tab w:val="left" w:pos="1134"/>
        </w:tabs>
        <w:spacing w:before="240"/>
        <w:ind w:left="709" w:right="119" w:firstLine="0"/>
        <w:jc w:val="both"/>
        <w:rPr>
          <w:rFonts w:ascii="Times New Roman" w:eastAsia="Times New Roman" w:hAnsi="Times New Roman" w:cs="Times New Roman"/>
          <w:color w:val="000000"/>
          <w:sz w:val="24"/>
          <w:szCs w:val="24"/>
          <w:lang w:eastAsia="pt-BR"/>
        </w:rPr>
      </w:pPr>
      <w:r w:rsidRPr="0034481E">
        <w:rPr>
          <w:rFonts w:ascii="Times New Roman" w:eastAsia="Times New Roman" w:hAnsi="Times New Roman" w:cs="Times New Roman"/>
          <w:color w:val="000000"/>
          <w:sz w:val="24"/>
          <w:szCs w:val="24"/>
          <w:lang w:eastAsia="pt-BR"/>
        </w:rPr>
        <w:t>Considerando-se que o Tribunal se encontra em processo de contratação de um novo sistema patrimonial, recomenda-se à SEMAP/SUMES/SECAM avaliar a possibilidade de realizar, previamente à migração dos dados, a reclassificação dos bens com valor inferior a R$ 627,25 para material de consumo, a critério da administração. Essa medida poderá otimizar os processos de controle patrimonial no novo sistema, reduzindo o volume de itens cadastrados como permanentes e contribuindo para maior eficiência na gestão dos bens.</w:t>
      </w:r>
    </w:p>
    <w:p w14:paraId="020CD7AB" w14:textId="77777777" w:rsidR="00F0437A" w:rsidRDefault="00F0437A" w:rsidP="00C92F95">
      <w:pPr>
        <w:ind w:right="119" w:firstLine="0"/>
        <w:jc w:val="both"/>
        <w:rPr>
          <w:rFonts w:ascii="Times New Roman" w:eastAsia="Times New Roman" w:hAnsi="Times New Roman" w:cs="Times New Roman"/>
          <w:b/>
          <w:bCs/>
          <w:color w:val="000000"/>
          <w:sz w:val="24"/>
          <w:szCs w:val="24"/>
          <w:lang w:eastAsia="pt-BR"/>
        </w:rPr>
      </w:pPr>
    </w:p>
    <w:p w14:paraId="59749327" w14:textId="77777777" w:rsidR="00C70E56" w:rsidRDefault="0076381F" w:rsidP="00C70E56">
      <w:pPr>
        <w:spacing w:before="240"/>
        <w:ind w:right="120" w:firstLine="0"/>
        <w:jc w:val="both"/>
        <w:rPr>
          <w:rFonts w:ascii="Times New Roman" w:eastAsia="Times New Roman" w:hAnsi="Times New Roman" w:cs="Times New Roman"/>
          <w:b/>
          <w:bCs/>
          <w:color w:val="000000"/>
          <w:sz w:val="24"/>
          <w:szCs w:val="24"/>
          <w:lang w:eastAsia="pt-BR"/>
        </w:rPr>
      </w:pPr>
      <w:r w:rsidRPr="00177AA9">
        <w:rPr>
          <w:rFonts w:ascii="Times New Roman" w:eastAsia="Times New Roman" w:hAnsi="Times New Roman" w:cs="Times New Roman"/>
          <w:b/>
          <w:bCs/>
          <w:color w:val="000000"/>
          <w:sz w:val="24"/>
          <w:szCs w:val="24"/>
          <w:lang w:eastAsia="pt-BR"/>
        </w:rPr>
        <w:t>4.2. </w:t>
      </w:r>
      <w:r w:rsidR="00C70E56" w:rsidRPr="002818A0">
        <w:rPr>
          <w:rFonts w:ascii="Times New Roman" w:eastAsia="Times New Roman" w:hAnsi="Times New Roman" w:cs="Times New Roman"/>
          <w:b/>
          <w:bCs/>
          <w:color w:val="000000"/>
          <w:sz w:val="24"/>
          <w:szCs w:val="24"/>
          <w:lang w:eastAsia="pt-BR"/>
        </w:rPr>
        <w:t xml:space="preserve">Baixa de bens não localizados sem observância integral dos procedimentos previstos na </w:t>
      </w:r>
      <w:proofErr w:type="spellStart"/>
      <w:r w:rsidR="00C70E56" w:rsidRPr="002818A0">
        <w:rPr>
          <w:rFonts w:ascii="Times New Roman" w:eastAsia="Times New Roman" w:hAnsi="Times New Roman" w:cs="Times New Roman"/>
          <w:b/>
          <w:bCs/>
          <w:color w:val="000000"/>
          <w:sz w:val="24"/>
          <w:szCs w:val="24"/>
          <w:lang w:eastAsia="pt-BR"/>
        </w:rPr>
        <w:t>Macrofunção</w:t>
      </w:r>
      <w:proofErr w:type="spellEnd"/>
      <w:r w:rsidR="00C70E56" w:rsidRPr="002818A0">
        <w:rPr>
          <w:rFonts w:ascii="Times New Roman" w:eastAsia="Times New Roman" w:hAnsi="Times New Roman" w:cs="Times New Roman"/>
          <w:b/>
          <w:bCs/>
          <w:color w:val="000000"/>
          <w:sz w:val="24"/>
          <w:szCs w:val="24"/>
          <w:lang w:eastAsia="pt-BR"/>
        </w:rPr>
        <w:t xml:space="preserve"> SIAFI 020330 e da IN 14-15 do TRF1</w:t>
      </w:r>
    </w:p>
    <w:p w14:paraId="683E1DA7" w14:textId="1A7B844F" w:rsidR="00C70E56" w:rsidRPr="00786325" w:rsidRDefault="00167A12" w:rsidP="002513FE">
      <w:pPr>
        <w:spacing w:before="240"/>
        <w:ind w:right="119"/>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4"/>
          <w:szCs w:val="24"/>
          <w:lang w:eastAsia="pt-BR"/>
        </w:rPr>
        <w:t xml:space="preserve">Conforme apontado no item 3.4 do Relatório Preliminar de Comunicações de distorções (id. </w:t>
      </w:r>
      <w:r w:rsidRPr="00D951DD">
        <w:rPr>
          <w:rFonts w:ascii="Times New Roman" w:eastAsia="Times New Roman" w:hAnsi="Times New Roman" w:cs="Times New Roman"/>
          <w:color w:val="000000"/>
          <w:sz w:val="24"/>
          <w:szCs w:val="24"/>
          <w:lang w:eastAsia="pt-BR"/>
        </w:rPr>
        <w:t>1527726</w:t>
      </w:r>
      <w:r>
        <w:rPr>
          <w:rFonts w:ascii="Times New Roman" w:eastAsia="Times New Roman" w:hAnsi="Times New Roman" w:cs="Times New Roman"/>
          <w:color w:val="000000"/>
          <w:sz w:val="24"/>
          <w:szCs w:val="24"/>
          <w:lang w:eastAsia="pt-BR"/>
        </w:rPr>
        <w:t>), o</w:t>
      </w:r>
      <w:r w:rsidR="00C70E56" w:rsidRPr="00786325">
        <w:rPr>
          <w:rFonts w:ascii="Times New Roman" w:eastAsia="Times New Roman" w:hAnsi="Times New Roman" w:cs="Times New Roman"/>
          <w:color w:val="000000"/>
          <w:sz w:val="24"/>
          <w:szCs w:val="24"/>
          <w:lang w:eastAsia="pt-BR"/>
        </w:rPr>
        <w:t xml:space="preserve"> item 20 da </w:t>
      </w:r>
      <w:r w:rsidR="00693834" w:rsidRPr="00693834">
        <w:rPr>
          <w:rFonts w:ascii="Times New Roman" w:eastAsia="Times New Roman" w:hAnsi="Times New Roman" w:cs="Times New Roman"/>
          <w:color w:val="000000"/>
          <w:sz w:val="24"/>
          <w:szCs w:val="24"/>
          <w:lang w:eastAsia="pt-BR"/>
        </w:rPr>
        <w:t> </w:t>
      </w:r>
      <w:proofErr w:type="spellStart"/>
      <w:r w:rsidR="00693834">
        <w:fldChar w:fldCharType="begin"/>
      </w:r>
      <w:r w:rsidR="00693834">
        <w:instrText>HYPERLINK "https://sisweb.tesouro.gov.br/apex/cosis/manuais/siafi/020330" \t "_blank"</w:instrText>
      </w:r>
      <w:r w:rsidR="00693834">
        <w:fldChar w:fldCharType="separate"/>
      </w:r>
      <w:r w:rsidR="00693834" w:rsidRPr="00693834">
        <w:rPr>
          <w:rStyle w:val="Hyperlink"/>
          <w:rFonts w:ascii="Times New Roman" w:eastAsia="Times New Roman" w:hAnsi="Times New Roman" w:cs="Times New Roman"/>
          <w:sz w:val="24"/>
          <w:szCs w:val="24"/>
          <w:lang w:eastAsia="pt-BR"/>
        </w:rPr>
        <w:t>Macrofunção</w:t>
      </w:r>
      <w:proofErr w:type="spellEnd"/>
      <w:r w:rsidR="00693834" w:rsidRPr="00693834">
        <w:rPr>
          <w:rStyle w:val="Hyperlink"/>
          <w:rFonts w:ascii="Times New Roman" w:eastAsia="Times New Roman" w:hAnsi="Times New Roman" w:cs="Times New Roman"/>
          <w:sz w:val="24"/>
          <w:szCs w:val="24"/>
          <w:lang w:eastAsia="pt-BR"/>
        </w:rPr>
        <w:t xml:space="preserve"> SIAFI 020330 - Depreciação, Amortização e Exaustão na Administração Pública</w:t>
      </w:r>
      <w:r w:rsidR="00693834">
        <w:fldChar w:fldCharType="end"/>
      </w:r>
      <w:r w:rsidR="00C70E56" w:rsidRPr="00786325">
        <w:rPr>
          <w:rFonts w:ascii="Times New Roman" w:eastAsia="Times New Roman" w:hAnsi="Times New Roman" w:cs="Times New Roman"/>
          <w:color w:val="000000"/>
          <w:sz w:val="24"/>
          <w:szCs w:val="24"/>
          <w:lang w:eastAsia="pt-BR"/>
        </w:rPr>
        <w:t> determina que os bens não localizados no processo de inventário deverão ser reclassificados para a conta 12311.99.07 - Bens não localizados. A norma também determina</w:t>
      </w:r>
      <w:r w:rsidR="00C70E56" w:rsidRPr="00786325">
        <w:rPr>
          <w:rFonts w:ascii="Times New Roman" w:eastAsia="Times New Roman" w:hAnsi="Times New Roman" w:cs="Times New Roman"/>
          <w:color w:val="000000"/>
          <w:sz w:val="20"/>
          <w:szCs w:val="20"/>
          <w:lang w:eastAsia="pt-BR"/>
        </w:rPr>
        <w:t>:</w:t>
      </w:r>
    </w:p>
    <w:p w14:paraId="32046B62" w14:textId="77777777" w:rsidR="00C70E56" w:rsidRPr="00F04CEB" w:rsidRDefault="00C70E56" w:rsidP="002513FE">
      <w:pPr>
        <w:spacing w:before="240"/>
        <w:ind w:left="1416" w:right="119"/>
        <w:jc w:val="both"/>
        <w:rPr>
          <w:rFonts w:ascii="Times New Roman" w:eastAsia="Times New Roman" w:hAnsi="Times New Roman" w:cs="Times New Roman"/>
          <w:color w:val="000000"/>
          <w:sz w:val="20"/>
          <w:szCs w:val="20"/>
          <w:lang w:eastAsia="pt-BR"/>
        </w:rPr>
      </w:pPr>
      <w:r w:rsidRPr="00F04CEB">
        <w:rPr>
          <w:rFonts w:ascii="Times New Roman" w:eastAsia="Times New Roman" w:hAnsi="Times New Roman" w:cs="Times New Roman"/>
          <w:color w:val="000000"/>
          <w:sz w:val="20"/>
          <w:szCs w:val="20"/>
          <w:lang w:eastAsia="pt-BR"/>
        </w:rPr>
        <w:t>20 – BENS NÃO LOCALIZADOS</w:t>
      </w:r>
    </w:p>
    <w:p w14:paraId="6E984EAA" w14:textId="77777777" w:rsidR="00C70E56" w:rsidRPr="00F04CEB" w:rsidRDefault="00C70E56" w:rsidP="002513FE">
      <w:pPr>
        <w:ind w:left="2124" w:right="120" w:firstLine="0"/>
        <w:jc w:val="both"/>
        <w:rPr>
          <w:rFonts w:ascii="Times New Roman" w:eastAsia="Times New Roman" w:hAnsi="Times New Roman" w:cs="Times New Roman"/>
          <w:color w:val="000000"/>
          <w:sz w:val="20"/>
          <w:szCs w:val="20"/>
          <w:lang w:eastAsia="pt-BR"/>
        </w:rPr>
      </w:pPr>
      <w:r w:rsidRPr="00F04CEB">
        <w:rPr>
          <w:rFonts w:ascii="Times New Roman" w:eastAsia="Times New Roman" w:hAnsi="Times New Roman" w:cs="Times New Roman"/>
          <w:color w:val="000000"/>
          <w:sz w:val="20"/>
          <w:szCs w:val="20"/>
          <w:lang w:eastAsia="pt-BR"/>
        </w:rPr>
        <w:t>20.1 - Os bens móveis não localizados no processo de inventário serão reclassificados</w:t>
      </w:r>
      <w:r w:rsidRPr="00F04CEB">
        <w:rPr>
          <w:rFonts w:ascii="Times New Roman" w:eastAsia="Times New Roman" w:hAnsi="Times New Roman" w:cs="Times New Roman"/>
          <w:b/>
          <w:bCs/>
          <w:color w:val="000000"/>
          <w:sz w:val="20"/>
          <w:szCs w:val="20"/>
          <w:lang w:eastAsia="pt-BR"/>
        </w:rPr>
        <w:t xml:space="preserve"> para a conta 12311.99.07 (Bens Não Localizados) pelo valor líquido contábil</w:t>
      </w:r>
      <w:r w:rsidRPr="00F04CEB">
        <w:rPr>
          <w:rFonts w:ascii="Times New Roman" w:eastAsia="Times New Roman" w:hAnsi="Times New Roman" w:cs="Times New Roman"/>
          <w:color w:val="000000"/>
          <w:sz w:val="20"/>
          <w:szCs w:val="20"/>
          <w:lang w:eastAsia="pt-BR"/>
        </w:rPr>
        <w:t>, utilizando-se a situação IMB149 - TRANSFERÊNCIA DE BENS EM PROCESSO DE LOCALIZAÇÃO C/C 002.9 (grifo nosso).</w:t>
      </w:r>
    </w:p>
    <w:p w14:paraId="640EB535" w14:textId="77777777" w:rsidR="00C70E56" w:rsidRPr="00F04CEB" w:rsidRDefault="00C70E56" w:rsidP="002513FE">
      <w:pPr>
        <w:ind w:left="2124" w:right="119" w:firstLine="0"/>
        <w:jc w:val="both"/>
        <w:rPr>
          <w:rFonts w:ascii="Times New Roman" w:eastAsia="Times New Roman" w:hAnsi="Times New Roman" w:cs="Times New Roman"/>
          <w:color w:val="000000"/>
          <w:sz w:val="20"/>
          <w:szCs w:val="20"/>
          <w:lang w:eastAsia="pt-BR"/>
        </w:rPr>
      </w:pPr>
      <w:r w:rsidRPr="00F04CEB">
        <w:rPr>
          <w:rFonts w:ascii="Times New Roman" w:eastAsia="Times New Roman" w:hAnsi="Times New Roman" w:cs="Times New Roman"/>
          <w:color w:val="000000"/>
          <w:sz w:val="20"/>
          <w:szCs w:val="20"/>
          <w:lang w:eastAsia="pt-BR"/>
        </w:rPr>
        <w:t>20.1.1 - Dessa forma, dar-se-á baixa da depreciação acumulada ou do ajuste ao valor recuperável antes de fazer a referida reclassificação.</w:t>
      </w:r>
    </w:p>
    <w:p w14:paraId="234AB05C" w14:textId="77777777" w:rsidR="00C70E56" w:rsidRPr="00F04CEB" w:rsidRDefault="00C70E56" w:rsidP="002513FE">
      <w:pPr>
        <w:ind w:left="2124" w:right="119" w:firstLine="0"/>
        <w:jc w:val="both"/>
        <w:rPr>
          <w:rFonts w:ascii="Times New Roman" w:eastAsia="Times New Roman" w:hAnsi="Times New Roman" w:cs="Times New Roman"/>
          <w:color w:val="000000"/>
          <w:sz w:val="20"/>
          <w:szCs w:val="20"/>
          <w:lang w:eastAsia="pt-BR"/>
        </w:rPr>
      </w:pPr>
      <w:r w:rsidRPr="00F04CEB">
        <w:rPr>
          <w:rFonts w:ascii="Times New Roman" w:eastAsia="Times New Roman" w:hAnsi="Times New Roman" w:cs="Times New Roman"/>
          <w:color w:val="000000"/>
          <w:sz w:val="20"/>
          <w:szCs w:val="20"/>
          <w:lang w:eastAsia="pt-BR"/>
        </w:rPr>
        <w:t>20.1.2 - A apuração do valor líquido contábil é realizada por meio das situações IMB010/IMB011/IMB012 (baixa da depreciação acumulada) e IMB084/IMB085/IMB086 (baixa da redução ao valor recuperável).</w:t>
      </w:r>
    </w:p>
    <w:p w14:paraId="035C87CD" w14:textId="77777777" w:rsidR="00C70E56" w:rsidRPr="00F04CEB" w:rsidRDefault="00C70E56" w:rsidP="002513FE">
      <w:pPr>
        <w:ind w:left="2124" w:right="119" w:firstLine="0"/>
        <w:jc w:val="both"/>
        <w:rPr>
          <w:rFonts w:ascii="Times New Roman" w:eastAsia="Times New Roman" w:hAnsi="Times New Roman" w:cs="Times New Roman"/>
          <w:color w:val="000000"/>
          <w:sz w:val="20"/>
          <w:szCs w:val="20"/>
          <w:lang w:eastAsia="pt-BR"/>
        </w:rPr>
      </w:pPr>
      <w:r w:rsidRPr="00F04CEB">
        <w:rPr>
          <w:rFonts w:ascii="Times New Roman" w:eastAsia="Times New Roman" w:hAnsi="Times New Roman" w:cs="Times New Roman"/>
          <w:color w:val="000000"/>
          <w:sz w:val="20"/>
          <w:szCs w:val="20"/>
          <w:lang w:eastAsia="pt-BR"/>
        </w:rPr>
        <w:t>20.2 – Caso o bem móvel seja localizado, o respectivo saldo na conta 12311.99.07 (Bens Não Localizados) deverá ser reclassificado para a conta de origem, utilizando-se a situação IMB150 - TRANSFERÊNCIA DE BENS LOCALIZADOS APÓS O PROCESSO DE INVENTÁRIO - C/C 002, devendo a Unidade realizar o lançamento da depreciação retroativa.</w:t>
      </w:r>
    </w:p>
    <w:p w14:paraId="0FD276CD" w14:textId="77777777" w:rsidR="00C70E56" w:rsidRPr="00F04CEB" w:rsidRDefault="00C70E56" w:rsidP="002513FE">
      <w:pPr>
        <w:ind w:left="2124" w:right="119" w:firstLine="0"/>
        <w:jc w:val="both"/>
        <w:rPr>
          <w:rFonts w:ascii="Times New Roman" w:eastAsia="Times New Roman" w:hAnsi="Times New Roman" w:cs="Times New Roman"/>
          <w:color w:val="000000"/>
          <w:sz w:val="20"/>
          <w:szCs w:val="20"/>
          <w:lang w:eastAsia="pt-BR"/>
        </w:rPr>
      </w:pPr>
      <w:r w:rsidRPr="00F04CEB">
        <w:rPr>
          <w:rFonts w:ascii="Times New Roman" w:eastAsia="Times New Roman" w:hAnsi="Times New Roman" w:cs="Times New Roman"/>
          <w:color w:val="000000"/>
          <w:sz w:val="20"/>
          <w:szCs w:val="20"/>
          <w:lang w:eastAsia="pt-BR"/>
        </w:rPr>
        <w:t xml:space="preserve">20.3 - A reclassificação dos bens móveis como bens móveis não localizados não exime a autoridade administrativa competente de adotar as providências cabíveis com vistas à apuração dos fatos, identificação dos responsáveis, quantificação do dano e ressarcimento ao erário, conforme previsto na </w:t>
      </w:r>
      <w:proofErr w:type="spellStart"/>
      <w:r w:rsidRPr="00F04CEB">
        <w:rPr>
          <w:rFonts w:ascii="Times New Roman" w:eastAsia="Times New Roman" w:hAnsi="Times New Roman" w:cs="Times New Roman"/>
          <w:color w:val="000000"/>
          <w:sz w:val="20"/>
          <w:szCs w:val="20"/>
          <w:lang w:eastAsia="pt-BR"/>
        </w:rPr>
        <w:t>macrofunção</w:t>
      </w:r>
      <w:proofErr w:type="spellEnd"/>
      <w:r w:rsidRPr="00F04CEB">
        <w:rPr>
          <w:rFonts w:ascii="Times New Roman" w:eastAsia="Times New Roman" w:hAnsi="Times New Roman" w:cs="Times New Roman"/>
          <w:color w:val="000000"/>
          <w:sz w:val="20"/>
          <w:szCs w:val="20"/>
          <w:lang w:eastAsia="pt-BR"/>
        </w:rPr>
        <w:t xml:space="preserve"> 02.11.38 - DIVERSOS RESPONSÁVEIS</w:t>
      </w:r>
    </w:p>
    <w:p w14:paraId="45A584E3" w14:textId="17053FCE" w:rsidR="00C70E56" w:rsidRPr="004B6C6D" w:rsidRDefault="00C70E56" w:rsidP="002513FE">
      <w:pPr>
        <w:spacing w:before="240"/>
        <w:ind w:right="119" w:firstLine="708"/>
        <w:jc w:val="both"/>
        <w:rPr>
          <w:rFonts w:ascii="Times New Roman" w:eastAsia="Times New Roman" w:hAnsi="Times New Roman" w:cs="Times New Roman"/>
          <w:color w:val="000000"/>
          <w:sz w:val="24"/>
          <w:szCs w:val="24"/>
          <w:lang w:eastAsia="pt-BR"/>
        </w:rPr>
      </w:pPr>
      <w:r w:rsidRPr="004B6C6D">
        <w:rPr>
          <w:rFonts w:ascii="Times New Roman" w:eastAsia="Times New Roman" w:hAnsi="Times New Roman" w:cs="Times New Roman"/>
          <w:color w:val="000000"/>
          <w:sz w:val="24"/>
          <w:szCs w:val="24"/>
          <w:lang w:eastAsia="pt-BR"/>
        </w:rPr>
        <w:t xml:space="preserve">Em análise do processo </w:t>
      </w:r>
      <w:proofErr w:type="spellStart"/>
      <w:r w:rsidRPr="004B6C6D">
        <w:rPr>
          <w:rFonts w:ascii="Times New Roman" w:eastAsia="Times New Roman" w:hAnsi="Times New Roman" w:cs="Times New Roman"/>
          <w:color w:val="000000"/>
          <w:sz w:val="24"/>
          <w:szCs w:val="24"/>
          <w:lang w:eastAsia="pt-BR"/>
        </w:rPr>
        <w:t>PAe</w:t>
      </w:r>
      <w:proofErr w:type="spellEnd"/>
      <w:r w:rsidRPr="004B6C6D">
        <w:rPr>
          <w:rFonts w:ascii="Times New Roman" w:eastAsia="Times New Roman" w:hAnsi="Times New Roman" w:cs="Times New Roman"/>
          <w:color w:val="000000"/>
          <w:sz w:val="24"/>
          <w:szCs w:val="24"/>
          <w:lang w:eastAsia="pt-BR"/>
        </w:rPr>
        <w:t>. SEI </w:t>
      </w:r>
      <w:r w:rsidRPr="00B7185F">
        <w:rPr>
          <w:rFonts w:ascii="Times New Roman" w:eastAsia="Times New Roman" w:hAnsi="Times New Roman" w:cs="Times New Roman"/>
          <w:sz w:val="24"/>
          <w:szCs w:val="24"/>
          <w:lang w:eastAsia="pt-BR"/>
        </w:rPr>
        <w:t>0002599-22.2024.4.06.8000</w:t>
      </w:r>
      <w:r w:rsidRPr="004B6C6D">
        <w:rPr>
          <w:rFonts w:ascii="Times New Roman" w:eastAsia="Times New Roman" w:hAnsi="Times New Roman" w:cs="Times New Roman"/>
          <w:color w:val="000000"/>
          <w:sz w:val="24"/>
          <w:szCs w:val="24"/>
          <w:lang w:eastAsia="pt-BR"/>
        </w:rPr>
        <w:t> verificou-se que a SEMAP está realizando o inventário em algumas unidades da SSJ em Belo Horizonte e que, conforme Solicitação SEMAP (id. </w:t>
      </w:r>
      <w:r w:rsidRPr="00B7185F">
        <w:rPr>
          <w:rFonts w:ascii="Times New Roman" w:eastAsia="Times New Roman" w:hAnsi="Times New Roman" w:cs="Times New Roman"/>
          <w:sz w:val="24"/>
          <w:szCs w:val="24"/>
          <w:lang w:eastAsia="pt-BR"/>
        </w:rPr>
        <w:t>0846518</w:t>
      </w:r>
      <w:r w:rsidRPr="004B6C6D">
        <w:rPr>
          <w:rFonts w:ascii="Times New Roman" w:eastAsia="Times New Roman" w:hAnsi="Times New Roman" w:cs="Times New Roman"/>
          <w:color w:val="000000"/>
          <w:sz w:val="24"/>
          <w:szCs w:val="24"/>
          <w:lang w:eastAsia="pt-BR"/>
        </w:rPr>
        <w:t>), foi requerida autorização para baixa de bens não localizados, a qual foi concedida pelo Despacho SECAD (id. </w:t>
      </w:r>
      <w:r w:rsidRPr="00B7185F">
        <w:rPr>
          <w:rFonts w:ascii="Times New Roman" w:eastAsia="Times New Roman" w:hAnsi="Times New Roman" w:cs="Times New Roman"/>
          <w:sz w:val="24"/>
          <w:szCs w:val="24"/>
          <w:lang w:eastAsia="pt-BR"/>
        </w:rPr>
        <w:t>0848422</w:t>
      </w:r>
      <w:r w:rsidRPr="004B6C6D">
        <w:rPr>
          <w:rFonts w:ascii="Times New Roman" w:eastAsia="Times New Roman" w:hAnsi="Times New Roman" w:cs="Times New Roman"/>
          <w:color w:val="000000"/>
          <w:sz w:val="24"/>
          <w:szCs w:val="24"/>
          <w:lang w:eastAsia="pt-BR"/>
        </w:rPr>
        <w:t>). Paralelamente, a análise da movimentação da conta 12311.02.01 – Equipamentos de Informática revelou que alguns desses bens não localizados foram diretamente baixados, conforme Termo de Baixa (id. </w:t>
      </w:r>
      <w:r w:rsidRPr="00B7185F">
        <w:rPr>
          <w:rFonts w:ascii="Times New Roman" w:eastAsia="Times New Roman" w:hAnsi="Times New Roman" w:cs="Times New Roman"/>
          <w:sz w:val="24"/>
          <w:szCs w:val="24"/>
          <w:lang w:eastAsia="pt-BR"/>
        </w:rPr>
        <w:t>1134430</w:t>
      </w:r>
      <w:r w:rsidRPr="004B6C6D">
        <w:rPr>
          <w:rFonts w:ascii="Times New Roman" w:eastAsia="Times New Roman" w:hAnsi="Times New Roman" w:cs="Times New Roman"/>
          <w:color w:val="000000"/>
          <w:sz w:val="24"/>
          <w:szCs w:val="24"/>
          <w:lang w:eastAsia="pt-BR"/>
        </w:rPr>
        <w:t xml:space="preserve">), sem </w:t>
      </w:r>
      <w:r w:rsidRPr="004B6C6D">
        <w:rPr>
          <w:rFonts w:ascii="Times New Roman" w:eastAsia="Times New Roman" w:hAnsi="Times New Roman" w:cs="Times New Roman"/>
          <w:color w:val="000000"/>
          <w:sz w:val="24"/>
          <w:szCs w:val="24"/>
          <w:lang w:eastAsia="pt-BR"/>
        </w:rPr>
        <w:lastRenderedPageBreak/>
        <w:t>a prévia reclassificação para a conta 12311.99.07 – Bens Não Localizados, em desacordo com a </w:t>
      </w:r>
      <w:proofErr w:type="spellStart"/>
      <w:r>
        <w:fldChar w:fldCharType="begin"/>
      </w:r>
      <w:r>
        <w:instrText>HYPERLINK "https://sisweb.tesouro.gov.br/apex/cosis/manuais/siafi/020330" \t "_blank"</w:instrText>
      </w:r>
      <w:r>
        <w:fldChar w:fldCharType="separate"/>
      </w:r>
      <w:r w:rsidRPr="004B6C6D">
        <w:rPr>
          <w:rStyle w:val="Hyperlink"/>
          <w:rFonts w:ascii="Times New Roman" w:eastAsia="Times New Roman" w:hAnsi="Times New Roman" w:cs="Times New Roman"/>
          <w:sz w:val="24"/>
          <w:szCs w:val="24"/>
          <w:lang w:eastAsia="pt-BR"/>
        </w:rPr>
        <w:t>Macrofunção</w:t>
      </w:r>
      <w:proofErr w:type="spellEnd"/>
      <w:r w:rsidRPr="004B6C6D">
        <w:rPr>
          <w:rStyle w:val="Hyperlink"/>
          <w:rFonts w:ascii="Times New Roman" w:eastAsia="Times New Roman" w:hAnsi="Times New Roman" w:cs="Times New Roman"/>
          <w:sz w:val="24"/>
          <w:szCs w:val="24"/>
          <w:lang w:eastAsia="pt-BR"/>
        </w:rPr>
        <w:t xml:space="preserve"> SIAFI 020330.</w:t>
      </w:r>
      <w:r>
        <w:fldChar w:fldCharType="end"/>
      </w:r>
    </w:p>
    <w:p w14:paraId="79E7C5F0" w14:textId="6531C720" w:rsidR="00C70E56" w:rsidRPr="004B6C6D" w:rsidRDefault="00C70E56" w:rsidP="00303F90">
      <w:pPr>
        <w:spacing w:before="240"/>
        <w:ind w:right="119"/>
        <w:jc w:val="both"/>
        <w:rPr>
          <w:rFonts w:ascii="Times New Roman" w:eastAsia="Times New Roman" w:hAnsi="Times New Roman" w:cs="Times New Roman"/>
          <w:color w:val="000000"/>
          <w:sz w:val="24"/>
          <w:szCs w:val="24"/>
          <w:lang w:eastAsia="pt-BR"/>
        </w:rPr>
      </w:pPr>
      <w:r w:rsidRPr="004B6C6D">
        <w:rPr>
          <w:rFonts w:ascii="Times New Roman" w:eastAsia="Times New Roman" w:hAnsi="Times New Roman" w:cs="Times New Roman"/>
          <w:color w:val="000000"/>
          <w:sz w:val="24"/>
          <w:szCs w:val="24"/>
          <w:lang w:eastAsia="pt-BR"/>
        </w:rPr>
        <w:t>Na Solicitação (id. </w:t>
      </w:r>
      <w:r w:rsidRPr="00B7185F">
        <w:rPr>
          <w:rFonts w:ascii="Times New Roman" w:eastAsia="Times New Roman" w:hAnsi="Times New Roman" w:cs="Times New Roman"/>
          <w:sz w:val="24"/>
          <w:szCs w:val="24"/>
          <w:lang w:eastAsia="pt-BR"/>
        </w:rPr>
        <w:t>0846518</w:t>
      </w:r>
      <w:r w:rsidRPr="004B6C6D">
        <w:rPr>
          <w:rFonts w:ascii="Times New Roman" w:eastAsia="Times New Roman" w:hAnsi="Times New Roman" w:cs="Times New Roman"/>
          <w:color w:val="000000"/>
          <w:sz w:val="24"/>
          <w:szCs w:val="24"/>
          <w:lang w:eastAsia="pt-BR"/>
        </w:rPr>
        <w:t>), a SEMAP elencou os fatos que contribuíram para a ocorrência dos extravios, destacados abaixo:</w:t>
      </w:r>
    </w:p>
    <w:p w14:paraId="4BA18159" w14:textId="77777777" w:rsidR="00C70E56" w:rsidRPr="004B6C6D" w:rsidRDefault="00C70E56" w:rsidP="00303F90">
      <w:pPr>
        <w:spacing w:before="240"/>
        <w:ind w:left="2126" w:right="119" w:firstLine="0"/>
        <w:jc w:val="both"/>
        <w:rPr>
          <w:rFonts w:ascii="Times New Roman" w:eastAsia="Times New Roman" w:hAnsi="Times New Roman" w:cs="Times New Roman"/>
          <w:color w:val="000000"/>
          <w:sz w:val="20"/>
          <w:szCs w:val="20"/>
          <w:lang w:eastAsia="pt-BR"/>
        </w:rPr>
      </w:pPr>
      <w:r w:rsidRPr="004B6C6D">
        <w:rPr>
          <w:rFonts w:ascii="Times New Roman" w:eastAsia="Times New Roman" w:hAnsi="Times New Roman" w:cs="Times New Roman"/>
          <w:color w:val="000000"/>
          <w:sz w:val="20"/>
          <w:szCs w:val="20"/>
          <w:lang w:eastAsia="pt-BR"/>
        </w:rPr>
        <w:t>Em relação ao extravio, consideramos pertinente registrar alguns fatos que contribuíram para estas ocorrências, em número maior que o usual, nos últimos anos:</w:t>
      </w:r>
    </w:p>
    <w:p w14:paraId="0DEC023C" w14:textId="77777777" w:rsidR="00C70E56" w:rsidRPr="004B6C6D" w:rsidRDefault="00C70E56" w:rsidP="00303F90">
      <w:pPr>
        <w:ind w:left="2126" w:right="119" w:firstLine="0"/>
        <w:jc w:val="both"/>
        <w:rPr>
          <w:rFonts w:ascii="Times New Roman" w:eastAsia="Times New Roman" w:hAnsi="Times New Roman" w:cs="Times New Roman"/>
          <w:color w:val="000000"/>
          <w:sz w:val="20"/>
          <w:szCs w:val="20"/>
          <w:lang w:eastAsia="pt-BR"/>
        </w:rPr>
      </w:pPr>
      <w:r w:rsidRPr="004B6C6D">
        <w:rPr>
          <w:rFonts w:ascii="Times New Roman" w:eastAsia="Times New Roman" w:hAnsi="Times New Roman" w:cs="Times New Roman"/>
          <w:color w:val="000000"/>
          <w:sz w:val="20"/>
          <w:szCs w:val="20"/>
          <w:lang w:eastAsia="pt-BR"/>
        </w:rPr>
        <w:t>Período da Pandemia de Covid-19, quando não foi possível realizar os inventários anuais;</w:t>
      </w:r>
    </w:p>
    <w:p w14:paraId="321E758A" w14:textId="77777777" w:rsidR="00C70E56" w:rsidRPr="004B6C6D" w:rsidRDefault="00C70E56" w:rsidP="00303F90">
      <w:pPr>
        <w:ind w:left="2126" w:right="119" w:firstLine="0"/>
        <w:jc w:val="both"/>
        <w:rPr>
          <w:rFonts w:ascii="Times New Roman" w:eastAsia="Times New Roman" w:hAnsi="Times New Roman" w:cs="Times New Roman"/>
          <w:color w:val="000000"/>
          <w:sz w:val="20"/>
          <w:szCs w:val="20"/>
          <w:lang w:eastAsia="pt-BR"/>
        </w:rPr>
      </w:pPr>
      <w:r w:rsidRPr="004B6C6D">
        <w:rPr>
          <w:rFonts w:ascii="Times New Roman" w:eastAsia="Times New Roman" w:hAnsi="Times New Roman" w:cs="Times New Roman"/>
          <w:color w:val="000000"/>
          <w:sz w:val="20"/>
          <w:szCs w:val="20"/>
          <w:lang w:eastAsia="pt-BR"/>
        </w:rPr>
        <w:t>Precariedade dos serviços na SEMAP; com saída de servidores, sem reposição;</w:t>
      </w:r>
    </w:p>
    <w:p w14:paraId="558FFC62" w14:textId="77777777" w:rsidR="00C70E56" w:rsidRPr="004B6C6D" w:rsidRDefault="00C70E56" w:rsidP="00303F90">
      <w:pPr>
        <w:ind w:left="2126" w:right="119" w:firstLine="0"/>
        <w:jc w:val="both"/>
        <w:rPr>
          <w:rFonts w:ascii="Times New Roman" w:eastAsia="Times New Roman" w:hAnsi="Times New Roman" w:cs="Times New Roman"/>
          <w:color w:val="000000"/>
          <w:sz w:val="20"/>
          <w:szCs w:val="20"/>
          <w:lang w:eastAsia="pt-BR"/>
        </w:rPr>
      </w:pPr>
      <w:r w:rsidRPr="004B6C6D">
        <w:rPr>
          <w:rFonts w:ascii="Times New Roman" w:eastAsia="Times New Roman" w:hAnsi="Times New Roman" w:cs="Times New Roman"/>
          <w:color w:val="000000"/>
          <w:sz w:val="20"/>
          <w:szCs w:val="20"/>
          <w:lang w:eastAsia="pt-BR"/>
        </w:rPr>
        <w:t>Realização de obras para reforma dos prédios da SJBH, o que dificultou sobremaneira os trabalhos de conferência pela SEMAP, e inviabilizou, por parte dos agentes consignatários, o efetivo controle dos bens que guarneciam os recintos em reforma;</w:t>
      </w:r>
    </w:p>
    <w:p w14:paraId="0FD21FDC" w14:textId="60C878DF" w:rsidR="00C70E56" w:rsidRPr="004B6C6D" w:rsidRDefault="00C70E56" w:rsidP="00303F90">
      <w:pPr>
        <w:ind w:left="2126" w:right="119" w:firstLine="0"/>
        <w:jc w:val="both"/>
        <w:rPr>
          <w:rFonts w:ascii="Times New Roman" w:eastAsia="Times New Roman" w:hAnsi="Times New Roman" w:cs="Times New Roman"/>
          <w:color w:val="000000"/>
          <w:sz w:val="20"/>
          <w:szCs w:val="20"/>
          <w:lang w:eastAsia="pt-BR"/>
        </w:rPr>
      </w:pPr>
      <w:r w:rsidRPr="004B6C6D">
        <w:rPr>
          <w:rFonts w:ascii="Times New Roman" w:eastAsia="Times New Roman" w:hAnsi="Times New Roman" w:cs="Times New Roman"/>
          <w:color w:val="000000"/>
          <w:sz w:val="20"/>
          <w:szCs w:val="20"/>
          <w:lang w:eastAsia="pt-BR"/>
        </w:rPr>
        <w:t>Todas as medidas preliminares necessária à instalação do TRF6, com extinção de Varas, criação de Secretarias Únicas, etc., quando houve intensa movimentação de bens, nem sempre acompanhada dos devidos registros no Sistema de Patrimônio, como mencionado pelo supervisor da SEMAP à época, id. </w:t>
      </w:r>
      <w:r w:rsidRPr="00B7185F">
        <w:rPr>
          <w:rFonts w:ascii="Times New Roman" w:eastAsia="Times New Roman" w:hAnsi="Times New Roman" w:cs="Times New Roman"/>
          <w:sz w:val="20"/>
          <w:szCs w:val="20"/>
          <w:lang w:eastAsia="pt-BR"/>
        </w:rPr>
        <w:t>0076194</w:t>
      </w:r>
      <w:r w:rsidRPr="004B6C6D">
        <w:rPr>
          <w:rFonts w:ascii="Times New Roman" w:eastAsia="Times New Roman" w:hAnsi="Times New Roman" w:cs="Times New Roman"/>
          <w:color w:val="000000"/>
          <w:sz w:val="20"/>
          <w:szCs w:val="20"/>
          <w:lang w:eastAsia="pt-BR"/>
        </w:rPr>
        <w:t> </w:t>
      </w:r>
      <w:r w:rsidR="00B7185F">
        <w:rPr>
          <w:rFonts w:ascii="Times New Roman" w:eastAsia="Times New Roman" w:hAnsi="Times New Roman" w:cs="Times New Roman"/>
          <w:color w:val="000000"/>
          <w:sz w:val="20"/>
          <w:szCs w:val="20"/>
          <w:lang w:eastAsia="pt-BR"/>
        </w:rPr>
        <w:t>e</w:t>
      </w:r>
      <w:r w:rsidRPr="004B6C6D">
        <w:rPr>
          <w:rFonts w:ascii="Times New Roman" w:eastAsia="Times New Roman" w:hAnsi="Times New Roman" w:cs="Times New Roman"/>
          <w:color w:val="000000"/>
          <w:sz w:val="20"/>
          <w:szCs w:val="20"/>
          <w:lang w:eastAsia="pt-BR"/>
        </w:rPr>
        <w:t> </w:t>
      </w:r>
      <w:r w:rsidRPr="00B7185F">
        <w:rPr>
          <w:rFonts w:ascii="Times New Roman" w:eastAsia="Times New Roman" w:hAnsi="Times New Roman" w:cs="Times New Roman"/>
          <w:sz w:val="20"/>
          <w:szCs w:val="20"/>
          <w:lang w:eastAsia="pt-BR"/>
        </w:rPr>
        <w:t>0176501</w:t>
      </w:r>
      <w:r w:rsidRPr="004B6C6D">
        <w:rPr>
          <w:rFonts w:ascii="Times New Roman" w:eastAsia="Times New Roman" w:hAnsi="Times New Roman" w:cs="Times New Roman"/>
          <w:color w:val="000000"/>
          <w:sz w:val="20"/>
          <w:szCs w:val="20"/>
          <w:lang w:eastAsia="pt-BR"/>
        </w:rPr>
        <w:t>;</w:t>
      </w:r>
    </w:p>
    <w:p w14:paraId="0B1CEFC0" w14:textId="77777777" w:rsidR="00C70E56" w:rsidRPr="004B6C6D" w:rsidRDefault="00C70E56" w:rsidP="00303F90">
      <w:pPr>
        <w:ind w:left="2126" w:right="119" w:firstLine="0"/>
        <w:jc w:val="both"/>
        <w:rPr>
          <w:rFonts w:ascii="Times New Roman" w:eastAsia="Times New Roman" w:hAnsi="Times New Roman" w:cs="Times New Roman"/>
          <w:color w:val="000000"/>
          <w:sz w:val="20"/>
          <w:szCs w:val="20"/>
          <w:lang w:eastAsia="pt-BR"/>
        </w:rPr>
      </w:pPr>
      <w:r w:rsidRPr="004B6C6D">
        <w:rPr>
          <w:rFonts w:ascii="Times New Roman" w:eastAsia="Times New Roman" w:hAnsi="Times New Roman" w:cs="Times New Roman"/>
          <w:color w:val="000000"/>
          <w:sz w:val="20"/>
          <w:szCs w:val="20"/>
          <w:lang w:eastAsia="pt-BR"/>
        </w:rPr>
        <w:t>Extinção da SJCEM, com a devolução de todo os bens para a SEMAP, sobrecarregando, ainda mais esta Seção.</w:t>
      </w:r>
    </w:p>
    <w:p w14:paraId="631B8CC4" w14:textId="77777777" w:rsidR="00FB281A" w:rsidRDefault="00C70E56" w:rsidP="00FB281A">
      <w:pPr>
        <w:spacing w:before="240"/>
        <w:ind w:right="119" w:firstLine="708"/>
        <w:jc w:val="both"/>
        <w:rPr>
          <w:rFonts w:ascii="Times New Roman" w:eastAsia="Times New Roman" w:hAnsi="Times New Roman" w:cs="Times New Roman"/>
          <w:color w:val="000000"/>
          <w:sz w:val="24"/>
          <w:szCs w:val="24"/>
          <w:lang w:eastAsia="pt-BR"/>
        </w:rPr>
      </w:pPr>
      <w:r w:rsidRPr="004B6C6D">
        <w:rPr>
          <w:rFonts w:ascii="Times New Roman" w:eastAsia="Times New Roman" w:hAnsi="Times New Roman" w:cs="Times New Roman"/>
          <w:color w:val="000000"/>
          <w:sz w:val="24"/>
          <w:szCs w:val="24"/>
          <w:lang w:eastAsia="pt-BR"/>
        </w:rPr>
        <w:t>Embora tais circunstâncias auxiliem na compreensão do contexto em que ocorreram os extravios, elas não afastam a necessidade de apuração de responsabilidade, conforme previsto no item 20.3 da </w:t>
      </w:r>
      <w:proofErr w:type="spellStart"/>
      <w:r>
        <w:fldChar w:fldCharType="begin"/>
      </w:r>
      <w:r>
        <w:instrText>HYPERLINK "https://sisweb.tesouro.gov.br/apex/cosis/manuais/siafi/020330" \t "_blank"</w:instrText>
      </w:r>
      <w:r>
        <w:fldChar w:fldCharType="separate"/>
      </w:r>
      <w:r w:rsidRPr="004B6C6D">
        <w:rPr>
          <w:rStyle w:val="Hyperlink"/>
          <w:rFonts w:ascii="Times New Roman" w:eastAsia="Times New Roman" w:hAnsi="Times New Roman" w:cs="Times New Roman"/>
          <w:sz w:val="24"/>
          <w:szCs w:val="24"/>
          <w:lang w:eastAsia="pt-BR"/>
        </w:rPr>
        <w:t>Macrofunção</w:t>
      </w:r>
      <w:proofErr w:type="spellEnd"/>
      <w:r w:rsidRPr="004B6C6D">
        <w:rPr>
          <w:rStyle w:val="Hyperlink"/>
          <w:rFonts w:ascii="Times New Roman" w:eastAsia="Times New Roman" w:hAnsi="Times New Roman" w:cs="Times New Roman"/>
          <w:sz w:val="24"/>
          <w:szCs w:val="24"/>
          <w:lang w:eastAsia="pt-BR"/>
        </w:rPr>
        <w:t xml:space="preserve"> SIAFI 020330</w:t>
      </w:r>
      <w:r>
        <w:fldChar w:fldCharType="end"/>
      </w:r>
      <w:r w:rsidRPr="004B6C6D">
        <w:rPr>
          <w:rFonts w:ascii="Times New Roman" w:eastAsia="Times New Roman" w:hAnsi="Times New Roman" w:cs="Times New Roman"/>
          <w:color w:val="000000"/>
          <w:sz w:val="24"/>
          <w:szCs w:val="24"/>
          <w:lang w:eastAsia="pt-BR"/>
        </w:rPr>
        <w:t> e no Módulo 7 da </w:t>
      </w:r>
      <w:hyperlink r:id="rId42" w:tgtFrame="_blank" w:history="1">
        <w:r w:rsidRPr="004B6C6D">
          <w:rPr>
            <w:rStyle w:val="Hyperlink"/>
            <w:rFonts w:ascii="Times New Roman" w:eastAsia="Times New Roman" w:hAnsi="Times New Roman" w:cs="Times New Roman"/>
            <w:sz w:val="24"/>
            <w:szCs w:val="24"/>
            <w:lang w:eastAsia="pt-BR"/>
          </w:rPr>
          <w:t>IN 14-15</w:t>
        </w:r>
      </w:hyperlink>
      <w:r w:rsidRPr="004B6C6D">
        <w:rPr>
          <w:rFonts w:ascii="Times New Roman" w:eastAsia="Times New Roman" w:hAnsi="Times New Roman" w:cs="Times New Roman"/>
          <w:color w:val="000000"/>
          <w:sz w:val="24"/>
          <w:szCs w:val="24"/>
          <w:lang w:eastAsia="pt-BR"/>
        </w:rPr>
        <w:t> do TRF1, que estabelecem que a responsabilidade pelos bens não localizados recai sobre o agente consignatário, devendo ser adotados os procedimentos formais de responsabilização após a conclusão do inventário.</w:t>
      </w:r>
    </w:p>
    <w:p w14:paraId="6C17E328" w14:textId="77777777" w:rsidR="00FB281A" w:rsidRDefault="00FB281A" w:rsidP="00FB281A">
      <w:pPr>
        <w:spacing w:before="240"/>
        <w:ind w:right="119"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Na manifestação SUMES (id. </w:t>
      </w:r>
      <w:r w:rsidRPr="00E702F3">
        <w:rPr>
          <w:rFonts w:ascii="Times New Roman" w:eastAsia="Times New Roman" w:hAnsi="Times New Roman" w:cs="Times New Roman"/>
          <w:color w:val="000000"/>
          <w:sz w:val="24"/>
          <w:szCs w:val="24"/>
          <w:lang w:eastAsia="pt-BR"/>
        </w:rPr>
        <w:t>1564705</w:t>
      </w:r>
      <w:r>
        <w:rPr>
          <w:rFonts w:ascii="Times New Roman" w:eastAsia="Times New Roman" w:hAnsi="Times New Roman" w:cs="Times New Roman"/>
          <w:color w:val="000000"/>
          <w:sz w:val="24"/>
          <w:szCs w:val="24"/>
          <w:lang w:eastAsia="pt-BR"/>
        </w:rPr>
        <w:t>)</w:t>
      </w:r>
      <w:r w:rsidRPr="00E05054">
        <w:rPr>
          <w:rFonts w:ascii="Times New Roman" w:eastAsia="Times New Roman" w:hAnsi="Times New Roman" w:cs="Times New Roman"/>
          <w:color w:val="000000"/>
          <w:sz w:val="24"/>
          <w:szCs w:val="24"/>
          <w:lang w:eastAsia="pt-BR"/>
        </w:rPr>
        <w:t>, a unidade auditada apresentou justificativas e destacou limitações estruturais relacionadas, sobretudo, ao reduzido quadro de pessoal, à utilização de sistema patrimonial defasado e à postergação da implantação de novo sistema integrado de gestão patrimonial.</w:t>
      </w:r>
    </w:p>
    <w:p w14:paraId="45D6E1B6" w14:textId="73A2F0E4" w:rsidR="00E46E43" w:rsidRPr="00FB281A" w:rsidRDefault="00FB281A" w:rsidP="00FB281A">
      <w:pPr>
        <w:spacing w:before="240"/>
        <w:ind w:right="119" w:firstLine="708"/>
        <w:jc w:val="both"/>
        <w:rPr>
          <w:rFonts w:ascii="Times New Roman" w:eastAsia="Times New Roman" w:hAnsi="Times New Roman" w:cs="Times New Roman"/>
          <w:color w:val="000000"/>
          <w:sz w:val="24"/>
          <w:szCs w:val="24"/>
          <w:lang w:eastAsia="pt-BR"/>
        </w:rPr>
      </w:pPr>
      <w:r w:rsidRPr="00FB281A">
        <w:rPr>
          <w:rFonts w:ascii="Times New Roman" w:eastAsia="Times New Roman" w:hAnsi="Times New Roman" w:cs="Times New Roman"/>
          <w:color w:val="000000"/>
          <w:sz w:val="24"/>
          <w:szCs w:val="24"/>
          <w:lang w:eastAsia="pt-BR"/>
        </w:rPr>
        <w:t>Ainda que consideradas as justificativas apresentadas, reitera-se a recomendação</w:t>
      </w:r>
      <w:r w:rsidR="00022583">
        <w:rPr>
          <w:rFonts w:ascii="Times New Roman" w:eastAsia="Times New Roman" w:hAnsi="Times New Roman" w:cs="Times New Roman"/>
          <w:color w:val="000000"/>
          <w:sz w:val="24"/>
          <w:szCs w:val="24"/>
          <w:lang w:eastAsia="pt-BR"/>
        </w:rPr>
        <w:t xml:space="preserve"> proposta no relatório preliminar, transcrita abaixo.</w:t>
      </w:r>
    </w:p>
    <w:p w14:paraId="21048015" w14:textId="77777777" w:rsidR="00FB281A" w:rsidRDefault="00FB281A" w:rsidP="0099771C">
      <w:pPr>
        <w:ind w:right="119" w:firstLine="0"/>
        <w:jc w:val="both"/>
        <w:rPr>
          <w:rFonts w:ascii="Times New Roman" w:eastAsia="Times New Roman" w:hAnsi="Times New Roman" w:cs="Times New Roman"/>
          <w:b/>
          <w:bCs/>
          <w:color w:val="000000"/>
          <w:sz w:val="24"/>
          <w:szCs w:val="24"/>
          <w:lang w:eastAsia="pt-BR"/>
        </w:rPr>
      </w:pPr>
    </w:p>
    <w:p w14:paraId="11190331" w14:textId="6B727522" w:rsidR="00C70E56" w:rsidRPr="00177AA9" w:rsidRDefault="00C70E56" w:rsidP="001B097D">
      <w:pPr>
        <w:spacing w:before="240"/>
        <w:ind w:right="119" w:firstLine="0"/>
        <w:jc w:val="both"/>
        <w:rPr>
          <w:rFonts w:ascii="Times New Roman" w:eastAsia="Times New Roman" w:hAnsi="Times New Roman" w:cs="Times New Roman"/>
          <w:color w:val="000000"/>
          <w:sz w:val="24"/>
          <w:szCs w:val="24"/>
          <w:lang w:eastAsia="pt-BR"/>
        </w:rPr>
      </w:pPr>
      <w:r w:rsidRPr="00177AA9">
        <w:rPr>
          <w:rFonts w:ascii="Times New Roman" w:eastAsia="Times New Roman" w:hAnsi="Times New Roman" w:cs="Times New Roman"/>
          <w:b/>
          <w:bCs/>
          <w:color w:val="000000"/>
          <w:sz w:val="24"/>
          <w:szCs w:val="24"/>
          <w:lang w:eastAsia="pt-BR"/>
        </w:rPr>
        <w:t>PROPOSTA</w:t>
      </w:r>
      <w:r>
        <w:rPr>
          <w:rFonts w:ascii="Times New Roman" w:eastAsia="Times New Roman" w:hAnsi="Times New Roman" w:cs="Times New Roman"/>
          <w:b/>
          <w:bCs/>
          <w:color w:val="000000"/>
          <w:sz w:val="24"/>
          <w:szCs w:val="24"/>
          <w:lang w:eastAsia="pt-BR"/>
        </w:rPr>
        <w:t>S</w:t>
      </w:r>
      <w:r w:rsidRPr="00177AA9">
        <w:rPr>
          <w:rFonts w:ascii="Times New Roman" w:eastAsia="Times New Roman" w:hAnsi="Times New Roman" w:cs="Times New Roman"/>
          <w:b/>
          <w:bCs/>
          <w:color w:val="000000"/>
          <w:sz w:val="24"/>
          <w:szCs w:val="24"/>
          <w:lang w:eastAsia="pt-BR"/>
        </w:rPr>
        <w:t xml:space="preserve"> DE ENCAMINHAMENTO</w:t>
      </w:r>
    </w:p>
    <w:p w14:paraId="079C35C3" w14:textId="77777777" w:rsidR="00C70E56" w:rsidRPr="00177AA9" w:rsidRDefault="00C70E56" w:rsidP="00C70E56">
      <w:pPr>
        <w:pStyle w:val="PargrafodaLista"/>
        <w:numPr>
          <w:ilvl w:val="0"/>
          <w:numId w:val="34"/>
        </w:numPr>
        <w:tabs>
          <w:tab w:val="left" w:pos="1134"/>
        </w:tabs>
        <w:spacing w:before="240"/>
        <w:ind w:left="709" w:right="119" w:firstLine="0"/>
        <w:jc w:val="both"/>
        <w:rPr>
          <w:rFonts w:ascii="Times New Roman" w:eastAsia="Times New Roman" w:hAnsi="Times New Roman" w:cs="Times New Roman"/>
          <w:color w:val="000000"/>
          <w:sz w:val="24"/>
          <w:szCs w:val="24"/>
          <w:lang w:eastAsia="pt-BR"/>
        </w:rPr>
      </w:pPr>
      <w:r w:rsidRPr="00F0437A">
        <w:rPr>
          <w:rFonts w:ascii="Times New Roman" w:eastAsia="Times New Roman" w:hAnsi="Times New Roman" w:cs="Times New Roman"/>
          <w:color w:val="000000"/>
          <w:sz w:val="24"/>
          <w:szCs w:val="24"/>
          <w:lang w:eastAsia="pt-BR"/>
        </w:rPr>
        <w:t>Recomenda-se à SEMAP/SUMES/SECAM a observância dos procedimentos previstos na </w:t>
      </w:r>
      <w:proofErr w:type="spellStart"/>
      <w:r>
        <w:fldChar w:fldCharType="begin"/>
      </w:r>
      <w:r>
        <w:instrText>HYPERLINK "https://sisweb.tesouro.gov.br/apex/cosis/manuais/siafi/020330" \t "_blank"</w:instrText>
      </w:r>
      <w:r>
        <w:fldChar w:fldCharType="separate"/>
      </w:r>
      <w:r w:rsidRPr="00F0437A">
        <w:rPr>
          <w:rStyle w:val="Hyperlink"/>
          <w:rFonts w:ascii="Times New Roman" w:eastAsia="Times New Roman" w:hAnsi="Times New Roman" w:cs="Times New Roman"/>
          <w:sz w:val="24"/>
          <w:szCs w:val="24"/>
          <w:lang w:eastAsia="pt-BR"/>
        </w:rPr>
        <w:t>Macrofunção</w:t>
      </w:r>
      <w:proofErr w:type="spellEnd"/>
      <w:r w:rsidRPr="00F0437A">
        <w:rPr>
          <w:rStyle w:val="Hyperlink"/>
          <w:rFonts w:ascii="Times New Roman" w:eastAsia="Times New Roman" w:hAnsi="Times New Roman" w:cs="Times New Roman"/>
          <w:sz w:val="24"/>
          <w:szCs w:val="24"/>
          <w:lang w:eastAsia="pt-BR"/>
        </w:rPr>
        <w:t xml:space="preserve"> SIAFI 020330</w:t>
      </w:r>
      <w:r>
        <w:fldChar w:fldCharType="end"/>
      </w:r>
      <w:r w:rsidRPr="00F0437A">
        <w:rPr>
          <w:rFonts w:ascii="Times New Roman" w:eastAsia="Times New Roman" w:hAnsi="Times New Roman" w:cs="Times New Roman"/>
          <w:color w:val="000000"/>
          <w:sz w:val="24"/>
          <w:szCs w:val="24"/>
          <w:lang w:eastAsia="pt-BR"/>
        </w:rPr>
        <w:t> para o tratamento de bens não localizados, especialmente quanto à reclassificação prévia para a conta 12311.99.07 – Bens Não Localizados e à apuração de responsabilidade, quando confirmada a não localização definitiva do bem, conforme também dispõe o Módulo 7 da </w:t>
      </w:r>
      <w:hyperlink r:id="rId43" w:tgtFrame="_blank" w:history="1">
        <w:r w:rsidRPr="00F0437A">
          <w:rPr>
            <w:rStyle w:val="Hyperlink"/>
            <w:rFonts w:ascii="Times New Roman" w:eastAsia="Times New Roman" w:hAnsi="Times New Roman" w:cs="Times New Roman"/>
            <w:sz w:val="24"/>
            <w:szCs w:val="24"/>
            <w:lang w:eastAsia="pt-BR"/>
          </w:rPr>
          <w:t>IN 14-15</w:t>
        </w:r>
      </w:hyperlink>
      <w:r w:rsidRPr="00F0437A">
        <w:rPr>
          <w:rFonts w:ascii="Times New Roman" w:eastAsia="Times New Roman" w:hAnsi="Times New Roman" w:cs="Times New Roman"/>
          <w:color w:val="000000"/>
          <w:sz w:val="24"/>
          <w:szCs w:val="24"/>
          <w:lang w:eastAsia="pt-BR"/>
        </w:rPr>
        <w:t> do TRF1.</w:t>
      </w:r>
      <w:r w:rsidRPr="00177AA9">
        <w:rPr>
          <w:rFonts w:ascii="Times New Roman" w:eastAsia="Times New Roman" w:hAnsi="Times New Roman" w:cs="Times New Roman"/>
          <w:color w:val="000000"/>
          <w:sz w:val="24"/>
          <w:szCs w:val="24"/>
          <w:lang w:eastAsia="pt-BR"/>
        </w:rPr>
        <w:t> </w:t>
      </w:r>
    </w:p>
    <w:p w14:paraId="783D0EAC" w14:textId="0EC72DD8" w:rsidR="0076381F" w:rsidRPr="00177AA9" w:rsidRDefault="0076381F" w:rsidP="00F17E4D">
      <w:pPr>
        <w:spacing w:before="240"/>
        <w:ind w:right="119" w:firstLine="0"/>
        <w:jc w:val="both"/>
        <w:rPr>
          <w:rFonts w:ascii="Times New Roman" w:eastAsia="Times New Roman" w:hAnsi="Times New Roman" w:cs="Times New Roman"/>
          <w:color w:val="000000"/>
          <w:sz w:val="24"/>
          <w:szCs w:val="24"/>
          <w:lang w:eastAsia="pt-BR"/>
        </w:rPr>
      </w:pPr>
    </w:p>
    <w:p w14:paraId="0A3DB208" w14:textId="5D635267" w:rsidR="00A61C3A" w:rsidRPr="001B097D" w:rsidRDefault="00A61C3A" w:rsidP="001B097D">
      <w:pPr>
        <w:ind w:left="119" w:right="119" w:firstLine="0"/>
        <w:jc w:val="both"/>
        <w:rPr>
          <w:rFonts w:ascii="Times New Roman" w:eastAsia="Times New Roman" w:hAnsi="Times New Roman" w:cs="Times New Roman"/>
          <w:color w:val="000000"/>
          <w:sz w:val="24"/>
          <w:szCs w:val="24"/>
          <w:lang w:eastAsia="pt-BR"/>
        </w:rPr>
      </w:pPr>
      <w:r w:rsidRPr="00A61C3A">
        <w:rPr>
          <w:rFonts w:ascii="Times New Roman" w:eastAsia="Times New Roman" w:hAnsi="Times New Roman" w:cs="Times New Roman"/>
          <w:b/>
          <w:bCs/>
          <w:sz w:val="24"/>
          <w:szCs w:val="24"/>
          <w:lang w:eastAsia="pt-BR"/>
        </w:rPr>
        <w:t>5. MONITORAMENTO DE DETERMINAÇÕES E RECOMENDAÇÕES</w:t>
      </w:r>
    </w:p>
    <w:p w14:paraId="7BE3A1C3" w14:textId="6BBE16E0" w:rsidR="003A15F1" w:rsidRDefault="00A61C3A" w:rsidP="008A6698">
      <w:pPr>
        <w:spacing w:before="240"/>
        <w:ind w:right="120" w:firstLine="708"/>
        <w:jc w:val="both"/>
        <w:rPr>
          <w:rFonts w:ascii="Times New Roman" w:eastAsia="Times New Roman" w:hAnsi="Times New Roman" w:cs="Times New Roman"/>
          <w:color w:val="000000"/>
          <w:sz w:val="24"/>
          <w:szCs w:val="24"/>
          <w:lang w:eastAsia="pt-BR"/>
        </w:rPr>
      </w:pPr>
      <w:r w:rsidRPr="00854432">
        <w:rPr>
          <w:rFonts w:ascii="Times New Roman" w:eastAsia="Times New Roman" w:hAnsi="Times New Roman" w:cs="Times New Roman"/>
          <w:color w:val="000000"/>
          <w:sz w:val="24"/>
          <w:szCs w:val="24"/>
          <w:lang w:eastAsia="pt-BR"/>
        </w:rPr>
        <w:t>Quantos às recomendações</w:t>
      </w:r>
      <w:r w:rsidR="00A74397">
        <w:rPr>
          <w:rFonts w:ascii="Times New Roman" w:eastAsia="Times New Roman" w:hAnsi="Times New Roman" w:cs="Times New Roman"/>
          <w:color w:val="000000"/>
          <w:sz w:val="24"/>
          <w:szCs w:val="24"/>
          <w:lang w:eastAsia="pt-BR"/>
        </w:rPr>
        <w:t xml:space="preserve"> ainda pendentes de implementação </w:t>
      </w:r>
      <w:r w:rsidRPr="00854432">
        <w:rPr>
          <w:rFonts w:ascii="Times New Roman" w:eastAsia="Times New Roman" w:hAnsi="Times New Roman" w:cs="Times New Roman"/>
          <w:color w:val="000000"/>
          <w:sz w:val="24"/>
          <w:szCs w:val="24"/>
          <w:lang w:eastAsia="pt-BR"/>
        </w:rPr>
        <w:t>constantes do item 4 do</w:t>
      </w:r>
      <w:r w:rsidR="00854432" w:rsidRPr="00854432">
        <w:rPr>
          <w:rFonts w:ascii="Times New Roman" w:eastAsia="Times New Roman" w:hAnsi="Times New Roman" w:cs="Times New Roman"/>
          <w:color w:val="000000"/>
          <w:sz w:val="24"/>
          <w:szCs w:val="24"/>
          <w:lang w:eastAsia="pt-BR"/>
        </w:rPr>
        <w:t>s</w:t>
      </w:r>
      <w:r w:rsidRPr="00854432">
        <w:rPr>
          <w:rFonts w:ascii="Times New Roman" w:eastAsia="Times New Roman" w:hAnsi="Times New Roman" w:cs="Times New Roman"/>
          <w:color w:val="000000"/>
          <w:sz w:val="24"/>
          <w:szCs w:val="24"/>
          <w:lang w:eastAsia="pt-BR"/>
        </w:rPr>
        <w:t xml:space="preserve"> </w:t>
      </w:r>
      <w:r w:rsidR="00854432" w:rsidRPr="00854432">
        <w:rPr>
          <w:rFonts w:ascii="Times New Roman" w:hAnsi="Times New Roman" w:cs="Times New Roman"/>
          <w:color w:val="000000"/>
          <w:sz w:val="24"/>
          <w:szCs w:val="24"/>
        </w:rPr>
        <w:t>Relatórios Finais de Auditoria nas C</w:t>
      </w:r>
      <w:r w:rsidR="00E22C8F">
        <w:rPr>
          <w:rFonts w:ascii="Times New Roman" w:hAnsi="Times New Roman" w:cs="Times New Roman"/>
          <w:color w:val="000000"/>
          <w:sz w:val="24"/>
          <w:szCs w:val="24"/>
        </w:rPr>
        <w:t>ontas Anuais, exercícios 2021</w:t>
      </w:r>
      <w:r w:rsidR="00A74397">
        <w:rPr>
          <w:rFonts w:ascii="Times New Roman" w:hAnsi="Times New Roman" w:cs="Times New Roman"/>
          <w:color w:val="000000"/>
          <w:sz w:val="24"/>
          <w:szCs w:val="24"/>
        </w:rPr>
        <w:t xml:space="preserve">, </w:t>
      </w:r>
      <w:r w:rsidR="00E22C8F">
        <w:rPr>
          <w:rFonts w:ascii="Times New Roman" w:hAnsi="Times New Roman" w:cs="Times New Roman"/>
          <w:color w:val="000000"/>
          <w:sz w:val="24"/>
          <w:szCs w:val="24"/>
        </w:rPr>
        <w:t>2023</w:t>
      </w:r>
      <w:r w:rsidR="007C7030">
        <w:rPr>
          <w:rFonts w:ascii="Times New Roman" w:hAnsi="Times New Roman" w:cs="Times New Roman"/>
          <w:color w:val="000000"/>
          <w:sz w:val="24"/>
          <w:szCs w:val="24"/>
        </w:rPr>
        <w:t xml:space="preserve"> e 2024</w:t>
      </w:r>
      <w:r w:rsidR="00854432" w:rsidRPr="00854432">
        <w:rPr>
          <w:rFonts w:ascii="Times New Roman" w:hAnsi="Times New Roman" w:cs="Times New Roman"/>
          <w:color w:val="000000"/>
          <w:sz w:val="24"/>
          <w:szCs w:val="24"/>
        </w:rPr>
        <w:t xml:space="preserve"> (</w:t>
      </w:r>
      <w:r w:rsidR="00854432" w:rsidRPr="0056738D">
        <w:rPr>
          <w:rFonts w:ascii="Times New Roman" w:hAnsi="Times New Roman" w:cs="Times New Roman"/>
          <w:color w:val="000000"/>
          <w:sz w:val="24"/>
          <w:szCs w:val="24"/>
        </w:rPr>
        <w:t>id</w:t>
      </w:r>
      <w:r w:rsidR="004B7148" w:rsidRPr="0056738D">
        <w:rPr>
          <w:rFonts w:ascii="Times New Roman" w:hAnsi="Times New Roman" w:cs="Times New Roman"/>
          <w:color w:val="000000"/>
          <w:sz w:val="24"/>
          <w:szCs w:val="24"/>
        </w:rPr>
        <w:t>s</w:t>
      </w:r>
      <w:r w:rsidR="00854432" w:rsidRPr="0056738D">
        <w:rPr>
          <w:rFonts w:ascii="Times New Roman" w:hAnsi="Times New Roman" w:cs="Times New Roman"/>
          <w:color w:val="000000"/>
          <w:sz w:val="24"/>
          <w:szCs w:val="24"/>
        </w:rPr>
        <w:t>. </w:t>
      </w:r>
      <w:r w:rsidR="0056738D" w:rsidRPr="00B7185F">
        <w:rPr>
          <w:rFonts w:ascii="Times New Roman" w:hAnsi="Times New Roman" w:cs="Times New Roman"/>
          <w:sz w:val="24"/>
          <w:szCs w:val="24"/>
        </w:rPr>
        <w:t>15178327/SJMG</w:t>
      </w:r>
      <w:r w:rsidR="007C7030">
        <w:rPr>
          <w:rFonts w:ascii="Times New Roman" w:hAnsi="Times New Roman" w:cs="Times New Roman"/>
          <w:color w:val="000000"/>
          <w:sz w:val="24"/>
          <w:szCs w:val="24"/>
        </w:rPr>
        <w:t xml:space="preserve">, </w:t>
      </w:r>
      <w:r w:rsidR="0056738D" w:rsidRPr="00B7185F">
        <w:rPr>
          <w:rFonts w:ascii="Times New Roman" w:hAnsi="Times New Roman" w:cs="Times New Roman"/>
          <w:sz w:val="24"/>
          <w:szCs w:val="24"/>
        </w:rPr>
        <w:t>0699300</w:t>
      </w:r>
      <w:r w:rsidR="007C7030" w:rsidRPr="007C7030">
        <w:rPr>
          <w:rFonts w:ascii="Times New Roman" w:hAnsi="Times New Roman" w:cs="Times New Roman"/>
          <w:sz w:val="24"/>
          <w:szCs w:val="24"/>
        </w:rPr>
        <w:t xml:space="preserve"> e </w:t>
      </w:r>
      <w:r w:rsidR="00A20814" w:rsidRPr="00B7185F">
        <w:rPr>
          <w:rFonts w:ascii="Times New Roman" w:eastAsia="Times New Roman" w:hAnsi="Times New Roman" w:cs="Times New Roman"/>
          <w:sz w:val="24"/>
          <w:szCs w:val="24"/>
          <w:lang w:eastAsia="pt-BR"/>
        </w:rPr>
        <w:t>1174391</w:t>
      </w:r>
      <w:r w:rsidR="00854432" w:rsidRPr="007C7030">
        <w:rPr>
          <w:rFonts w:ascii="Times New Roman" w:hAnsi="Times New Roman" w:cs="Times New Roman"/>
          <w:sz w:val="24"/>
          <w:szCs w:val="24"/>
        </w:rPr>
        <w:t>),</w:t>
      </w:r>
      <w:r w:rsidR="000F41D9" w:rsidRPr="007C7030">
        <w:rPr>
          <w:rFonts w:ascii="Times New Roman" w:hAnsi="Times New Roman" w:cs="Times New Roman"/>
          <w:color w:val="000000"/>
          <w:sz w:val="24"/>
          <w:szCs w:val="24"/>
        </w:rPr>
        <w:t xml:space="preserve"> </w:t>
      </w:r>
      <w:r w:rsidR="002E2506" w:rsidRPr="007C7030">
        <w:rPr>
          <w:rFonts w:ascii="Times New Roman" w:eastAsia="Times New Roman" w:hAnsi="Times New Roman" w:cs="Times New Roman"/>
          <w:color w:val="000000"/>
          <w:sz w:val="24"/>
          <w:szCs w:val="24"/>
          <w:lang w:eastAsia="pt-BR"/>
        </w:rPr>
        <w:t>a respeito</w:t>
      </w:r>
      <w:r w:rsidRPr="007C7030">
        <w:rPr>
          <w:rFonts w:ascii="Times New Roman" w:eastAsia="Times New Roman" w:hAnsi="Times New Roman" w:cs="Times New Roman"/>
          <w:color w:val="000000"/>
          <w:sz w:val="24"/>
          <w:szCs w:val="24"/>
          <w:lang w:eastAsia="pt-BR"/>
        </w:rPr>
        <w:t xml:space="preserve"> das Deficiências Significativas de Controle Interno, a equipe de auditori</w:t>
      </w:r>
      <w:r w:rsidRPr="00854432">
        <w:rPr>
          <w:rFonts w:ascii="Times New Roman" w:eastAsia="Times New Roman" w:hAnsi="Times New Roman" w:cs="Times New Roman"/>
          <w:color w:val="000000"/>
          <w:sz w:val="24"/>
          <w:szCs w:val="24"/>
          <w:lang w:eastAsia="pt-BR"/>
        </w:rPr>
        <w:t xml:space="preserve">a avaliou as providências adotadas pela Administração conforme </w:t>
      </w:r>
      <w:r w:rsidR="00501F31">
        <w:rPr>
          <w:rFonts w:ascii="Times New Roman" w:eastAsia="Times New Roman" w:hAnsi="Times New Roman" w:cs="Times New Roman"/>
          <w:color w:val="000000"/>
          <w:sz w:val="24"/>
          <w:szCs w:val="24"/>
          <w:lang w:eastAsia="pt-BR"/>
        </w:rPr>
        <w:t>quadro a seguir:</w:t>
      </w:r>
    </w:p>
    <w:p w14:paraId="1564BD4B" w14:textId="77777777" w:rsidR="002458BF" w:rsidRPr="00983EF8" w:rsidRDefault="002458BF" w:rsidP="008A6698">
      <w:pPr>
        <w:spacing w:before="240"/>
        <w:ind w:right="120" w:firstLine="708"/>
        <w:jc w:val="both"/>
        <w:rPr>
          <w:rFonts w:ascii="Times New Roman" w:eastAsia="Times New Roman" w:hAnsi="Times New Roman" w:cs="Times New Roman"/>
          <w:sz w:val="24"/>
          <w:szCs w:val="24"/>
          <w:lang w:eastAsia="pt-BR"/>
        </w:rPr>
      </w:pPr>
    </w:p>
    <w:p w14:paraId="66C1B345" w14:textId="77777777" w:rsidR="00395CDB" w:rsidRDefault="00395CDB" w:rsidP="008A6698">
      <w:pPr>
        <w:pStyle w:val="tabelatextocentralizado"/>
        <w:spacing w:before="0" w:beforeAutospacing="0" w:after="0" w:afterAutospacing="0"/>
        <w:ind w:left="62" w:right="62" w:firstLine="0"/>
        <w:jc w:val="center"/>
        <w:rPr>
          <w:b/>
          <w:color w:val="000000"/>
          <w:sz w:val="22"/>
          <w:szCs w:val="22"/>
        </w:rPr>
      </w:pPr>
    </w:p>
    <w:p w14:paraId="30073A9B" w14:textId="77777777" w:rsidR="00B65565" w:rsidRPr="00C47BED" w:rsidRDefault="00F138A2" w:rsidP="00401EE8">
      <w:pPr>
        <w:pStyle w:val="tabelatextocentralizado"/>
        <w:spacing w:before="0" w:beforeAutospacing="0" w:after="0" w:afterAutospacing="0"/>
        <w:ind w:left="60" w:right="60" w:firstLine="0"/>
        <w:jc w:val="center"/>
        <w:rPr>
          <w:b/>
          <w:color w:val="000000"/>
          <w:sz w:val="22"/>
          <w:szCs w:val="22"/>
        </w:rPr>
      </w:pPr>
      <w:r w:rsidRPr="00C47BED">
        <w:rPr>
          <w:b/>
          <w:color w:val="000000"/>
          <w:sz w:val="22"/>
          <w:szCs w:val="22"/>
        </w:rPr>
        <w:t>Quadro</w:t>
      </w:r>
      <w:r w:rsidR="00F10DD2" w:rsidRPr="00C47BED">
        <w:rPr>
          <w:b/>
          <w:color w:val="000000"/>
          <w:sz w:val="22"/>
          <w:szCs w:val="22"/>
        </w:rPr>
        <w:t xml:space="preserve"> 4</w:t>
      </w:r>
      <w:r w:rsidRPr="00C47BED">
        <w:rPr>
          <w:b/>
          <w:color w:val="000000"/>
          <w:sz w:val="22"/>
          <w:szCs w:val="22"/>
        </w:rPr>
        <w:t xml:space="preserve"> – Resumo dos monitoramentos</w:t>
      </w:r>
    </w:p>
    <w:tbl>
      <w:tblPr>
        <w:tblW w:w="9209" w:type="dxa"/>
        <w:jc w:val="center"/>
        <w:tblCellMar>
          <w:left w:w="70" w:type="dxa"/>
          <w:right w:w="70" w:type="dxa"/>
        </w:tblCellMar>
        <w:tblLook w:val="04A0" w:firstRow="1" w:lastRow="0" w:firstColumn="1" w:lastColumn="0" w:noHBand="0" w:noVBand="1"/>
      </w:tblPr>
      <w:tblGrid>
        <w:gridCol w:w="2409"/>
        <w:gridCol w:w="6800"/>
      </w:tblGrid>
      <w:tr w:rsidR="00A86F52" w:rsidRPr="00677E67" w14:paraId="54F1DA6E" w14:textId="77777777" w:rsidTr="008A6698">
        <w:trPr>
          <w:trHeight w:val="459"/>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20600C4D" w14:textId="3C789971" w:rsidR="00C7394C" w:rsidRPr="00677E67" w:rsidRDefault="00A86F52"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2021</w:t>
            </w:r>
            <w:r w:rsidRPr="00677E67">
              <w:rPr>
                <w:rFonts w:ascii="Times New Roman" w:eastAsia="Times New Roman" w:hAnsi="Times New Roman" w:cs="Times New Roman"/>
                <w:b/>
                <w:bCs/>
                <w:sz w:val="20"/>
                <w:szCs w:val="20"/>
                <w:lang w:eastAsia="pt-BR"/>
              </w:rPr>
              <w:t xml:space="preserve"> (id</w:t>
            </w:r>
            <w:r w:rsidRPr="00677E67">
              <w:rPr>
                <w:rFonts w:ascii="Times New Roman" w:eastAsia="Times New Roman" w:hAnsi="Times New Roman" w:cs="Times New Roman"/>
                <w:bCs/>
                <w:sz w:val="20"/>
                <w:szCs w:val="20"/>
                <w:lang w:eastAsia="pt-BR"/>
              </w:rPr>
              <w:t xml:space="preserve">. </w:t>
            </w:r>
            <w:r w:rsidR="0056738D" w:rsidRPr="00B7185F">
              <w:rPr>
                <w:rFonts w:ascii="Times New Roman" w:hAnsi="Times New Roman" w:cs="Times New Roman"/>
                <w:sz w:val="20"/>
                <w:szCs w:val="20"/>
              </w:rPr>
              <w:t>15178327/SJMG</w:t>
            </w:r>
            <w:r w:rsidRPr="00677E67">
              <w:rPr>
                <w:rFonts w:ascii="Times New Roman" w:eastAsia="Times New Roman" w:hAnsi="Times New Roman" w:cs="Times New Roman"/>
                <w:b/>
                <w:bCs/>
                <w:sz w:val="20"/>
                <w:szCs w:val="20"/>
                <w:lang w:eastAsia="pt-BR"/>
              </w:rPr>
              <w:t>)</w:t>
            </w:r>
          </w:p>
          <w:p w14:paraId="1FC49E19" w14:textId="77777777" w:rsidR="00A86F52" w:rsidRPr="00677E67" w:rsidRDefault="00A86F52"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 xml:space="preserve">Item 4.3. Ausência de cadastro de bens imóveis da SJMG no </w:t>
            </w:r>
            <w:proofErr w:type="spellStart"/>
            <w:r w:rsidRPr="00677E67">
              <w:rPr>
                <w:rFonts w:ascii="Times New Roman" w:eastAsia="Times New Roman" w:hAnsi="Times New Roman" w:cs="Times New Roman"/>
                <w:b/>
                <w:bCs/>
                <w:sz w:val="20"/>
                <w:szCs w:val="20"/>
                <w:lang w:eastAsia="pt-BR"/>
              </w:rPr>
              <w:t>SPIUnet</w:t>
            </w:r>
            <w:proofErr w:type="spellEnd"/>
          </w:p>
        </w:tc>
      </w:tr>
      <w:tr w:rsidR="00A86F52" w:rsidRPr="00677E67" w14:paraId="74670376" w14:textId="77777777" w:rsidTr="00D16D95">
        <w:trPr>
          <w:trHeight w:val="1261"/>
          <w:jc w:val="center"/>
        </w:trPr>
        <w:tc>
          <w:tcPr>
            <w:tcW w:w="2409"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5D559463" w14:textId="77777777" w:rsidR="00A86F52" w:rsidRPr="00677E67" w:rsidRDefault="00A86F52"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lastRenderedPageBreak/>
              <w:t>Recomendação</w:t>
            </w:r>
          </w:p>
        </w:tc>
        <w:tc>
          <w:tcPr>
            <w:tcW w:w="6800" w:type="dxa"/>
            <w:tcBorders>
              <w:top w:val="nil"/>
              <w:left w:val="nil"/>
              <w:bottom w:val="single" w:sz="4" w:space="0" w:color="auto"/>
              <w:right w:val="single" w:sz="4" w:space="0" w:color="auto"/>
            </w:tcBorders>
            <w:vAlign w:val="center"/>
            <w:hideMark/>
          </w:tcPr>
          <w:p w14:paraId="372A7F6B" w14:textId="0B9AC266" w:rsidR="00A86F52" w:rsidRPr="00677E67" w:rsidRDefault="00A86F52" w:rsidP="00401EE8">
            <w:pPr>
              <w:pStyle w:val="PargrafodaLista"/>
              <w:numPr>
                <w:ilvl w:val="0"/>
                <w:numId w:val="25"/>
              </w:numPr>
              <w:ind w:left="348" w:firstLine="0"/>
              <w:jc w:val="both"/>
              <w:rPr>
                <w:rFonts w:ascii="Times New Roman" w:eastAsia="Times New Roman" w:hAnsi="Times New Roman" w:cs="Times New Roman"/>
                <w:sz w:val="20"/>
                <w:szCs w:val="20"/>
                <w:lang w:eastAsia="pt-BR"/>
              </w:rPr>
            </w:pPr>
            <w:r w:rsidRPr="00677E67">
              <w:rPr>
                <w:rFonts w:ascii="Times New Roman" w:eastAsia="Times New Roman" w:hAnsi="Times New Roman" w:cs="Times New Roman"/>
                <w:sz w:val="20"/>
                <w:szCs w:val="20"/>
                <w:lang w:eastAsia="pt-BR"/>
              </w:rPr>
              <w:t>Reitera-se à SEMAP a recomendação expressa no relatório preliminar de auditoria (id. </w:t>
            </w:r>
            <w:r w:rsidR="00F316F0" w:rsidRPr="00677E67">
              <w:rPr>
                <w:rFonts w:ascii="Times New Roman" w:hAnsi="Times New Roman" w:cs="Times New Roman"/>
                <w:sz w:val="20"/>
                <w:szCs w:val="20"/>
              </w:rPr>
              <w:t xml:space="preserve"> </w:t>
            </w:r>
            <w:r w:rsidR="00F316F0" w:rsidRPr="00B7185F">
              <w:rPr>
                <w:rFonts w:ascii="Times New Roman" w:hAnsi="Times New Roman" w:cs="Times New Roman"/>
                <w:sz w:val="20"/>
                <w:szCs w:val="20"/>
              </w:rPr>
              <w:t>14559757/SJMG</w:t>
            </w:r>
            <w:r w:rsidRPr="00677E67">
              <w:rPr>
                <w:rFonts w:ascii="Times New Roman" w:eastAsia="Times New Roman" w:hAnsi="Times New Roman" w:cs="Times New Roman"/>
                <w:sz w:val="20"/>
                <w:szCs w:val="20"/>
                <w:lang w:eastAsia="pt-BR"/>
              </w:rPr>
              <w:t>) para envidar esforços junto à SPU para a tempestividade dos registros dos imóveis acima relacionados, uma vez que afeta posteriores procedimentos de atualização, de reavaliação e de depreciação de tais bens</w:t>
            </w:r>
          </w:p>
        </w:tc>
      </w:tr>
      <w:tr w:rsidR="00A86F52" w:rsidRPr="00677E67" w14:paraId="72B72212" w14:textId="77777777" w:rsidTr="00D16D95">
        <w:trPr>
          <w:trHeight w:val="571"/>
          <w:jc w:val="center"/>
        </w:trPr>
        <w:tc>
          <w:tcPr>
            <w:tcW w:w="2409"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2EFCACAC" w14:textId="77777777" w:rsidR="00A86F52" w:rsidRPr="00677E67" w:rsidRDefault="00A86F52"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nil"/>
              <w:left w:val="nil"/>
              <w:bottom w:val="single" w:sz="4" w:space="0" w:color="auto"/>
              <w:right w:val="single" w:sz="4" w:space="0" w:color="auto"/>
            </w:tcBorders>
            <w:vAlign w:val="center"/>
            <w:hideMark/>
          </w:tcPr>
          <w:p w14:paraId="2E78FE0E" w14:textId="77777777" w:rsidR="00A86F52" w:rsidRPr="00677E67" w:rsidRDefault="00B23899" w:rsidP="00401EE8">
            <w:pPr>
              <w:ind w:firstLine="0"/>
              <w:jc w:val="both"/>
              <w:rPr>
                <w:rFonts w:ascii="Times New Roman" w:eastAsia="Times New Roman" w:hAnsi="Times New Roman" w:cs="Times New Roman"/>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w:t>
            </w:r>
            <w:r w:rsidR="00A86F52" w:rsidRPr="00677E67">
              <w:rPr>
                <w:rFonts w:ascii="Times New Roman" w:eastAsia="Times New Roman" w:hAnsi="Times New Roman" w:cs="Times New Roman"/>
                <w:sz w:val="20"/>
                <w:szCs w:val="20"/>
                <w:lang w:eastAsia="pt-BR"/>
              </w:rPr>
              <w:t>SECAM</w:t>
            </w:r>
          </w:p>
        </w:tc>
      </w:tr>
      <w:tr w:rsidR="00A86F52" w:rsidRPr="00677E67" w14:paraId="51A8D255" w14:textId="77777777" w:rsidTr="00D16D95">
        <w:trPr>
          <w:trHeight w:val="2404"/>
          <w:jc w:val="center"/>
        </w:trPr>
        <w:tc>
          <w:tcPr>
            <w:tcW w:w="2409"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6A2F536" w14:textId="77777777" w:rsidR="00A86F52" w:rsidRPr="00677E67" w:rsidRDefault="00A86F52"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nil"/>
              <w:left w:val="nil"/>
              <w:bottom w:val="single" w:sz="4" w:space="0" w:color="auto"/>
              <w:right w:val="single" w:sz="4" w:space="0" w:color="auto"/>
            </w:tcBorders>
            <w:vAlign w:val="center"/>
            <w:hideMark/>
          </w:tcPr>
          <w:p w14:paraId="5F5AD41E" w14:textId="77777777" w:rsidR="00A86F52" w:rsidRDefault="00CA3098" w:rsidP="00401EE8">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Relatório SEMAP (id. </w:t>
            </w:r>
            <w:r w:rsidRPr="00CA3098">
              <w:rPr>
                <w:rFonts w:ascii="Times New Roman" w:eastAsia="Times New Roman" w:hAnsi="Times New Roman" w:cs="Times New Roman"/>
                <w:sz w:val="20"/>
                <w:szCs w:val="20"/>
                <w:lang w:eastAsia="pt-BR"/>
              </w:rPr>
              <w:t>1668782</w:t>
            </w:r>
            <w:r>
              <w:rPr>
                <w:rFonts w:ascii="Times New Roman" w:eastAsia="Times New Roman" w:hAnsi="Times New Roman" w:cs="Times New Roman"/>
                <w:sz w:val="20"/>
                <w:szCs w:val="20"/>
                <w:lang w:eastAsia="pt-BR"/>
              </w:rPr>
              <w:t xml:space="preserve">): “(...) </w:t>
            </w:r>
            <w:r w:rsidRPr="00CA3098">
              <w:rPr>
                <w:rFonts w:ascii="Times New Roman" w:eastAsia="Times New Roman" w:hAnsi="Times New Roman" w:cs="Times New Roman"/>
                <w:sz w:val="20"/>
                <w:szCs w:val="20"/>
                <w:lang w:eastAsia="pt-BR"/>
              </w:rPr>
              <w:t>informamos que, no momento, a consulta direta ao sistema </w:t>
            </w:r>
            <w:proofErr w:type="spellStart"/>
            <w:r w:rsidRPr="00CA3098">
              <w:rPr>
                <w:rFonts w:ascii="Times New Roman" w:eastAsia="Times New Roman" w:hAnsi="Times New Roman" w:cs="Times New Roman"/>
                <w:sz w:val="20"/>
                <w:szCs w:val="20"/>
                <w:lang w:eastAsia="pt-BR"/>
              </w:rPr>
              <w:t>SPIUnet</w:t>
            </w:r>
            <w:proofErr w:type="spellEnd"/>
            <w:r w:rsidRPr="00CA3098">
              <w:rPr>
                <w:rFonts w:ascii="Times New Roman" w:eastAsia="Times New Roman" w:hAnsi="Times New Roman" w:cs="Times New Roman"/>
                <w:sz w:val="20"/>
                <w:szCs w:val="20"/>
                <w:lang w:eastAsia="pt-BR"/>
              </w:rPr>
              <w:t> encontra-se indisponível.</w:t>
            </w:r>
            <w:r>
              <w:rPr>
                <w:rFonts w:ascii="Times New Roman" w:eastAsia="Times New Roman" w:hAnsi="Times New Roman" w:cs="Times New Roman"/>
                <w:sz w:val="20"/>
                <w:szCs w:val="20"/>
                <w:lang w:eastAsia="pt-BR"/>
              </w:rPr>
              <w:t xml:space="preserve"> </w:t>
            </w:r>
            <w:r w:rsidRPr="00CA3098">
              <w:rPr>
                <w:rFonts w:ascii="Times New Roman" w:eastAsia="Times New Roman" w:hAnsi="Times New Roman" w:cs="Times New Roman"/>
                <w:sz w:val="20"/>
                <w:szCs w:val="20"/>
                <w:lang w:eastAsia="pt-BR"/>
              </w:rPr>
              <w:t xml:space="preserve">Esta limitação ocorre devido ao processo de migração e transição sistêmica conduzido pela Secretaria de Patrimônio da União (SPU), que está substituindo o antigo </w:t>
            </w:r>
            <w:proofErr w:type="spellStart"/>
            <w:r w:rsidRPr="00CA3098">
              <w:rPr>
                <w:rFonts w:ascii="Times New Roman" w:eastAsia="Times New Roman" w:hAnsi="Times New Roman" w:cs="Times New Roman"/>
                <w:sz w:val="20"/>
                <w:szCs w:val="20"/>
                <w:lang w:eastAsia="pt-BR"/>
              </w:rPr>
              <w:t>SPIUnet</w:t>
            </w:r>
            <w:proofErr w:type="spellEnd"/>
            <w:r w:rsidRPr="00CA3098">
              <w:rPr>
                <w:rFonts w:ascii="Times New Roman" w:eastAsia="Times New Roman" w:hAnsi="Times New Roman" w:cs="Times New Roman"/>
                <w:sz w:val="20"/>
                <w:szCs w:val="20"/>
                <w:lang w:eastAsia="pt-BR"/>
              </w:rPr>
              <w:t xml:space="preserve"> por uma nova plataforma de gestão patrimonial.</w:t>
            </w:r>
            <w:r>
              <w:rPr>
                <w:rFonts w:ascii="Times New Roman" w:eastAsia="Times New Roman" w:hAnsi="Times New Roman" w:cs="Times New Roman"/>
                <w:sz w:val="20"/>
                <w:szCs w:val="20"/>
                <w:lang w:eastAsia="pt-BR"/>
              </w:rPr>
              <w:t xml:space="preserve"> </w:t>
            </w:r>
            <w:r w:rsidRPr="00CA3098">
              <w:rPr>
                <w:rFonts w:ascii="Times New Roman" w:eastAsia="Times New Roman" w:hAnsi="Times New Roman" w:cs="Times New Roman"/>
                <w:sz w:val="20"/>
                <w:szCs w:val="20"/>
                <w:lang w:eastAsia="pt-BR"/>
              </w:rPr>
              <w:t>Durante este período de transição, os acessos para consulta e extração de relatórios foram suspensos ou restritos pelo órgão gestor para garantir a integridade da migração dos dados.</w:t>
            </w:r>
          </w:p>
          <w:p w14:paraId="2F62FA42" w14:textId="77777777" w:rsidR="00CA3098" w:rsidRPr="00CA3098" w:rsidRDefault="00CA3098" w:rsidP="00CA3098">
            <w:pPr>
              <w:ind w:firstLine="0"/>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b/>
                <w:bCs/>
                <w:sz w:val="20"/>
                <w:szCs w:val="20"/>
                <w:lang w:eastAsia="pt-BR"/>
              </w:rPr>
              <w:t>Medidas Adotadas:</w:t>
            </w:r>
          </w:p>
          <w:p w14:paraId="03278E05" w14:textId="311FD487" w:rsidR="00CA3098" w:rsidRPr="00CA3098" w:rsidRDefault="00CA3098" w:rsidP="00695645">
            <w:pPr>
              <w:numPr>
                <w:ilvl w:val="0"/>
                <w:numId w:val="61"/>
              </w:numPr>
              <w:tabs>
                <w:tab w:val="clear" w:pos="720"/>
              </w:tabs>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Estamos monitorando a liberação das credenciais no novo sistema, prevista para 01/04/2026;</w:t>
            </w:r>
          </w:p>
          <w:p w14:paraId="1F8019B4" w14:textId="77777777" w:rsidR="00CA3098" w:rsidRPr="00CA3098" w:rsidRDefault="00CA3098" w:rsidP="00695645">
            <w:pPr>
              <w:numPr>
                <w:ilvl w:val="0"/>
                <w:numId w:val="61"/>
              </w:numPr>
              <w:tabs>
                <w:tab w:val="clear" w:pos="720"/>
              </w:tabs>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Assim que o ambiente for estabilizado e o cadastro do bem estiver disponível na nova plataforma, os documentos serão analisados, com prioridade.</w:t>
            </w:r>
          </w:p>
          <w:p w14:paraId="1066D79A" w14:textId="672C7F63" w:rsidR="00CA3098" w:rsidRDefault="00CA3098" w:rsidP="00695645">
            <w:pPr>
              <w:numPr>
                <w:ilvl w:val="0"/>
                <w:numId w:val="61"/>
              </w:numPr>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 xml:space="preserve">Prazo: A partir de </w:t>
            </w:r>
            <w:r w:rsidR="009C31A8">
              <w:rPr>
                <w:rFonts w:ascii="Times New Roman" w:eastAsia="Times New Roman" w:hAnsi="Times New Roman" w:cs="Times New Roman"/>
                <w:sz w:val="20"/>
                <w:szCs w:val="20"/>
                <w:lang w:eastAsia="pt-BR"/>
              </w:rPr>
              <w:t>a</w:t>
            </w:r>
            <w:r w:rsidRPr="00CA3098">
              <w:rPr>
                <w:rFonts w:ascii="Times New Roman" w:eastAsia="Times New Roman" w:hAnsi="Times New Roman" w:cs="Times New Roman"/>
                <w:sz w:val="20"/>
                <w:szCs w:val="20"/>
                <w:lang w:eastAsia="pt-BR"/>
              </w:rPr>
              <w:t>bril/2026</w:t>
            </w:r>
          </w:p>
          <w:p w14:paraId="530BDE6D" w14:textId="77777777" w:rsidR="00E10048" w:rsidRDefault="00E10048" w:rsidP="00E10048">
            <w:pPr>
              <w:ind w:firstLine="0"/>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Ressaltamos que tal indisponibilidade é de ordem externa e sistêmica, alheia ao controle desta seção</w:t>
            </w:r>
            <w:r>
              <w:rPr>
                <w:rFonts w:ascii="Times New Roman" w:eastAsia="Times New Roman" w:hAnsi="Times New Roman" w:cs="Times New Roman"/>
                <w:sz w:val="20"/>
                <w:szCs w:val="20"/>
                <w:lang w:eastAsia="pt-BR"/>
              </w:rPr>
              <w:t>.</w:t>
            </w:r>
          </w:p>
          <w:p w14:paraId="6C601BE8" w14:textId="0960E686" w:rsidR="00E10048" w:rsidRDefault="00E10048" w:rsidP="00401EE8">
            <w:pPr>
              <w:ind w:firstLine="0"/>
              <w:jc w:val="both"/>
              <w:rPr>
                <w:rFonts w:ascii="Times New Roman" w:eastAsia="Times New Roman" w:hAnsi="Times New Roman" w:cs="Times New Roman"/>
                <w:b/>
                <w:bCs/>
                <w:sz w:val="20"/>
                <w:szCs w:val="20"/>
                <w:lang w:eastAsia="pt-BR"/>
              </w:rPr>
            </w:pPr>
            <w:r w:rsidRPr="00E10048">
              <w:rPr>
                <w:rFonts w:ascii="Times New Roman" w:eastAsia="Times New Roman" w:hAnsi="Times New Roman" w:cs="Times New Roman"/>
                <w:b/>
                <w:bCs/>
                <w:sz w:val="20"/>
                <w:szCs w:val="20"/>
                <w:lang w:eastAsia="pt-BR"/>
              </w:rPr>
              <w:t>Informações:</w:t>
            </w:r>
          </w:p>
          <w:p w14:paraId="2FC76D6C" w14:textId="1EBDFC80" w:rsidR="00F7564F" w:rsidRPr="00F7564F" w:rsidRDefault="00F7564F" w:rsidP="006A6D48">
            <w:pPr>
              <w:pStyle w:val="tabelatextojustificado"/>
              <w:numPr>
                <w:ilvl w:val="0"/>
                <w:numId w:val="60"/>
              </w:numPr>
              <w:spacing w:before="0" w:beforeAutospacing="0" w:after="0" w:afterAutospacing="0"/>
              <w:ind w:left="491" w:hanging="142"/>
              <w:jc w:val="both"/>
              <w:rPr>
                <w:color w:val="000000"/>
                <w:sz w:val="20"/>
                <w:szCs w:val="20"/>
              </w:rPr>
            </w:pPr>
            <w:hyperlink r:id="rId44" w:history="1">
              <w:r w:rsidRPr="00F7564F">
                <w:rPr>
                  <w:rStyle w:val="Hyperlink"/>
                  <w:i/>
                  <w:iCs/>
                  <w:sz w:val="20"/>
                  <w:szCs w:val="20"/>
                </w:rPr>
                <w:t>https://www.gov.br/gestao/pt-br/assuntos/patrimonio-da-uniao/transformacao-digital/desligamentosistemas2</w:t>
              </w:r>
            </w:hyperlink>
          </w:p>
          <w:p w14:paraId="10BD915E" w14:textId="77777777" w:rsidR="00F7564F" w:rsidRPr="00F7564F" w:rsidRDefault="00F7564F" w:rsidP="006A6D48">
            <w:pPr>
              <w:pStyle w:val="tabelatextojustificado"/>
              <w:numPr>
                <w:ilvl w:val="0"/>
                <w:numId w:val="60"/>
              </w:numPr>
              <w:spacing w:before="0" w:beforeAutospacing="0" w:after="0" w:afterAutospacing="0"/>
              <w:ind w:left="491" w:hanging="142"/>
              <w:jc w:val="both"/>
              <w:rPr>
                <w:color w:val="000000"/>
                <w:sz w:val="20"/>
                <w:szCs w:val="20"/>
              </w:rPr>
            </w:pPr>
            <w:r w:rsidRPr="00F7564F">
              <w:rPr>
                <w:color w:val="000000"/>
                <w:sz w:val="20"/>
                <w:szCs w:val="20"/>
              </w:rPr>
              <w:t>Informamos que o cadastramento dos imóveis próprios é de competência da Secretaria de Patrimônio da União (SPU). </w:t>
            </w:r>
          </w:p>
          <w:p w14:paraId="537E816A" w14:textId="692221B8" w:rsidR="00F7564F" w:rsidRPr="00F7564F" w:rsidRDefault="00F7564F" w:rsidP="006A6D48">
            <w:pPr>
              <w:pStyle w:val="tabelatextojustificado"/>
              <w:numPr>
                <w:ilvl w:val="0"/>
                <w:numId w:val="60"/>
              </w:numPr>
              <w:spacing w:before="0" w:beforeAutospacing="0" w:after="0" w:afterAutospacing="0"/>
              <w:ind w:left="491" w:hanging="142"/>
              <w:jc w:val="both"/>
              <w:rPr>
                <w:color w:val="000000"/>
                <w:sz w:val="20"/>
                <w:szCs w:val="20"/>
              </w:rPr>
            </w:pPr>
            <w:r w:rsidRPr="00F7564F">
              <w:rPr>
                <w:color w:val="000000"/>
                <w:sz w:val="20"/>
                <w:szCs w:val="20"/>
              </w:rPr>
              <w:t xml:space="preserve">No caso da SSJ de São João </w:t>
            </w:r>
            <w:proofErr w:type="spellStart"/>
            <w:r w:rsidRPr="00F7564F">
              <w:rPr>
                <w:color w:val="000000"/>
                <w:sz w:val="20"/>
                <w:szCs w:val="20"/>
              </w:rPr>
              <w:t>del</w:t>
            </w:r>
            <w:proofErr w:type="spellEnd"/>
            <w:r w:rsidRPr="00F7564F">
              <w:rPr>
                <w:color w:val="000000"/>
                <w:sz w:val="20"/>
                <w:szCs w:val="20"/>
              </w:rPr>
              <w:t xml:space="preserve"> Rei, há pendência relacionadas à documentação do imóvel.</w:t>
            </w:r>
          </w:p>
          <w:p w14:paraId="0154F22A" w14:textId="7AA21F6E" w:rsidR="00F7564F" w:rsidRPr="00F7564F" w:rsidRDefault="00F7564F" w:rsidP="006A6D48">
            <w:pPr>
              <w:pStyle w:val="tabelatextojustificado"/>
              <w:numPr>
                <w:ilvl w:val="0"/>
                <w:numId w:val="60"/>
              </w:numPr>
              <w:spacing w:before="0" w:beforeAutospacing="0" w:after="0" w:afterAutospacing="0"/>
              <w:ind w:left="491" w:hanging="142"/>
              <w:jc w:val="both"/>
              <w:rPr>
                <w:color w:val="000000"/>
                <w:sz w:val="20"/>
                <w:szCs w:val="20"/>
              </w:rPr>
            </w:pPr>
            <w:r w:rsidRPr="00F7564F">
              <w:rPr>
                <w:color w:val="000000"/>
                <w:sz w:val="20"/>
                <w:szCs w:val="20"/>
              </w:rPr>
              <w:t xml:space="preserve">Quanto aos registros das </w:t>
            </w:r>
            <w:proofErr w:type="spellStart"/>
            <w:r w:rsidRPr="00F7564F">
              <w:rPr>
                <w:color w:val="000000"/>
                <w:sz w:val="20"/>
                <w:szCs w:val="20"/>
              </w:rPr>
              <w:t>UAAs</w:t>
            </w:r>
            <w:proofErr w:type="spellEnd"/>
            <w:r w:rsidRPr="00F7564F">
              <w:rPr>
                <w:color w:val="000000"/>
                <w:sz w:val="20"/>
                <w:szCs w:val="20"/>
              </w:rPr>
              <w:t>, esta unidade realiza acompanhamento diário por meio da Intranet, na seção de Atos Administrativos, a fim de manter o controle e a atualização das informações</w:t>
            </w:r>
            <w:r w:rsidR="006A6D48">
              <w:rPr>
                <w:color w:val="000000"/>
                <w:sz w:val="20"/>
                <w:szCs w:val="20"/>
              </w:rPr>
              <w:t>”.</w:t>
            </w:r>
          </w:p>
          <w:p w14:paraId="64A60F60" w14:textId="6752CE03" w:rsidR="00CA3098" w:rsidRPr="003B0D40" w:rsidRDefault="00CA3098" w:rsidP="00401EE8">
            <w:pPr>
              <w:ind w:firstLine="0"/>
              <w:jc w:val="both"/>
              <w:rPr>
                <w:rFonts w:ascii="Times New Roman" w:eastAsia="Times New Roman" w:hAnsi="Times New Roman" w:cs="Times New Roman"/>
                <w:sz w:val="20"/>
                <w:szCs w:val="20"/>
                <w:lang w:eastAsia="pt-BR"/>
              </w:rPr>
            </w:pPr>
          </w:p>
        </w:tc>
      </w:tr>
      <w:tr w:rsidR="00A86F52" w:rsidRPr="00677E67" w14:paraId="7196A879" w14:textId="77777777" w:rsidTr="006F22BE">
        <w:trPr>
          <w:trHeight w:val="969"/>
          <w:jc w:val="center"/>
        </w:trPr>
        <w:tc>
          <w:tcPr>
            <w:tcW w:w="2409"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5499D567" w14:textId="77777777" w:rsidR="00A86F52" w:rsidRPr="00677E67" w:rsidRDefault="00A86F52"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nil"/>
              <w:left w:val="nil"/>
              <w:bottom w:val="single" w:sz="4" w:space="0" w:color="auto"/>
              <w:right w:val="single" w:sz="4" w:space="0" w:color="auto"/>
            </w:tcBorders>
            <w:vAlign w:val="center"/>
            <w:hideMark/>
          </w:tcPr>
          <w:p w14:paraId="7260F5C1" w14:textId="7365B2D5" w:rsidR="00E10048" w:rsidRDefault="005054A7" w:rsidP="00E67C1C">
            <w:pPr>
              <w:pStyle w:val="NormalWeb"/>
              <w:spacing w:before="0" w:beforeAutospacing="0" w:after="0" w:afterAutospacing="0"/>
              <w:ind w:firstLine="0"/>
              <w:jc w:val="both"/>
              <w:rPr>
                <w:sz w:val="20"/>
                <w:szCs w:val="20"/>
              </w:rPr>
            </w:pPr>
            <w:r>
              <w:rPr>
                <w:sz w:val="20"/>
                <w:szCs w:val="20"/>
              </w:rPr>
              <w:t>Ainda</w:t>
            </w:r>
            <w:r w:rsidR="00B549BF" w:rsidRPr="006F22BE">
              <w:rPr>
                <w:sz w:val="20"/>
                <w:szCs w:val="20"/>
              </w:rPr>
              <w:t xml:space="preserve"> estão pendentes de regularização no </w:t>
            </w:r>
            <w:proofErr w:type="spellStart"/>
            <w:r w:rsidR="00B549BF" w:rsidRPr="006F22BE">
              <w:rPr>
                <w:sz w:val="20"/>
                <w:szCs w:val="20"/>
              </w:rPr>
              <w:t>SPIUnet</w:t>
            </w:r>
            <w:proofErr w:type="spellEnd"/>
            <w:r w:rsidR="00B549BF" w:rsidRPr="006F22BE">
              <w:rPr>
                <w:sz w:val="20"/>
                <w:szCs w:val="20"/>
              </w:rPr>
              <w:t xml:space="preserve"> os seguintes imóveis: </w:t>
            </w:r>
            <w:r w:rsidR="00B549BF" w:rsidRPr="00DB1550">
              <w:rPr>
                <w:b/>
                <w:bCs/>
                <w:sz w:val="20"/>
                <w:szCs w:val="20"/>
              </w:rPr>
              <w:t>IM090013F – SSJ de Uberaba</w:t>
            </w:r>
            <w:r w:rsidR="000F1369" w:rsidRPr="006F22BE">
              <w:rPr>
                <w:sz w:val="20"/>
                <w:szCs w:val="20"/>
              </w:rPr>
              <w:t xml:space="preserve"> e </w:t>
            </w:r>
            <w:r w:rsidR="000F1369" w:rsidRPr="00DB1550">
              <w:rPr>
                <w:b/>
                <w:bCs/>
                <w:sz w:val="20"/>
                <w:szCs w:val="20"/>
              </w:rPr>
              <w:t xml:space="preserve">IM090013G – SSJ de São João </w:t>
            </w:r>
            <w:proofErr w:type="spellStart"/>
            <w:r w:rsidR="00287B81" w:rsidRPr="00DB1550">
              <w:rPr>
                <w:b/>
                <w:bCs/>
                <w:sz w:val="20"/>
                <w:szCs w:val="20"/>
              </w:rPr>
              <w:t>d</w:t>
            </w:r>
            <w:r w:rsidR="000F1369" w:rsidRPr="00DB1550">
              <w:rPr>
                <w:b/>
                <w:bCs/>
                <w:sz w:val="20"/>
                <w:szCs w:val="20"/>
              </w:rPr>
              <w:t>el</w:t>
            </w:r>
            <w:proofErr w:type="spellEnd"/>
            <w:r w:rsidR="00287B81" w:rsidRPr="00DB1550">
              <w:rPr>
                <w:b/>
                <w:bCs/>
                <w:sz w:val="20"/>
                <w:szCs w:val="20"/>
              </w:rPr>
              <w:t xml:space="preserve"> </w:t>
            </w:r>
            <w:r w:rsidR="00B549BF" w:rsidRPr="00DB1550">
              <w:rPr>
                <w:b/>
                <w:bCs/>
                <w:sz w:val="20"/>
                <w:szCs w:val="20"/>
              </w:rPr>
              <w:t>Rei</w:t>
            </w:r>
            <w:r w:rsidR="00B549BF" w:rsidRPr="006F22BE">
              <w:rPr>
                <w:sz w:val="20"/>
                <w:szCs w:val="20"/>
              </w:rPr>
              <w:t>.</w:t>
            </w:r>
          </w:p>
          <w:p w14:paraId="657FC432" w14:textId="6A8FE39E" w:rsidR="00A86F52" w:rsidRPr="006F22BE" w:rsidRDefault="00E10048" w:rsidP="00E67C1C">
            <w:pPr>
              <w:pStyle w:val="NormalWeb"/>
              <w:spacing w:before="0" w:beforeAutospacing="0" w:after="0" w:afterAutospacing="0"/>
              <w:ind w:firstLine="0"/>
              <w:jc w:val="both"/>
              <w:rPr>
                <w:color w:val="EE0000"/>
                <w:sz w:val="20"/>
                <w:szCs w:val="20"/>
              </w:rPr>
            </w:pPr>
            <w:r>
              <w:rPr>
                <w:sz w:val="20"/>
                <w:szCs w:val="20"/>
              </w:rPr>
              <w:t>Considerando a manifestação da unidade audi</w:t>
            </w:r>
            <w:r w:rsidR="005B64C4">
              <w:rPr>
                <w:sz w:val="20"/>
                <w:szCs w:val="20"/>
              </w:rPr>
              <w:t>tada</w:t>
            </w:r>
            <w:r>
              <w:rPr>
                <w:sz w:val="20"/>
                <w:szCs w:val="20"/>
              </w:rPr>
              <w:t>, a equipe de auditoria classifica a recomendação</w:t>
            </w:r>
            <w:r w:rsidR="005B64C4">
              <w:rPr>
                <w:sz w:val="20"/>
                <w:szCs w:val="20"/>
              </w:rPr>
              <w:t xml:space="preserve"> </w:t>
            </w:r>
            <w:r>
              <w:rPr>
                <w:sz w:val="20"/>
                <w:szCs w:val="20"/>
              </w:rPr>
              <w:t>como</w:t>
            </w:r>
            <w:r w:rsidR="005B64C4">
              <w:rPr>
                <w:sz w:val="20"/>
                <w:szCs w:val="20"/>
              </w:rPr>
              <w:t xml:space="preserve"> “</w:t>
            </w:r>
            <w:r>
              <w:rPr>
                <w:sz w:val="20"/>
                <w:szCs w:val="20"/>
              </w:rPr>
              <w:t>Em implementação</w:t>
            </w:r>
            <w:r w:rsidR="005B64C4">
              <w:rPr>
                <w:sz w:val="20"/>
                <w:szCs w:val="20"/>
              </w:rPr>
              <w:t>”</w:t>
            </w:r>
            <w:r>
              <w:rPr>
                <w:sz w:val="20"/>
                <w:szCs w:val="20"/>
              </w:rPr>
              <w:t>, devendo ser objeto de novo monitoramento em 202</w:t>
            </w:r>
            <w:r w:rsidR="005054A7">
              <w:rPr>
                <w:sz w:val="20"/>
                <w:szCs w:val="20"/>
              </w:rPr>
              <w:t>6</w:t>
            </w:r>
            <w:r>
              <w:rPr>
                <w:sz w:val="20"/>
                <w:szCs w:val="20"/>
              </w:rPr>
              <w:t>.</w:t>
            </w:r>
            <w:r w:rsidR="00626883">
              <w:rPr>
                <w:sz w:val="20"/>
                <w:szCs w:val="20"/>
              </w:rPr>
              <w:t xml:space="preserve"> </w:t>
            </w:r>
          </w:p>
        </w:tc>
      </w:tr>
      <w:tr w:rsidR="00A86F52" w:rsidRPr="00677E67" w14:paraId="019E8C6B" w14:textId="77777777" w:rsidTr="00D16D95">
        <w:trPr>
          <w:trHeight w:val="571"/>
          <w:jc w:val="center"/>
        </w:trPr>
        <w:tc>
          <w:tcPr>
            <w:tcW w:w="2409"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3BCA22E4" w14:textId="77777777" w:rsidR="00A86F52" w:rsidRPr="00677E67" w:rsidRDefault="00A86F52"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Classificação da recomendação</w:t>
            </w:r>
          </w:p>
        </w:tc>
        <w:tc>
          <w:tcPr>
            <w:tcW w:w="6800" w:type="dxa"/>
            <w:tcBorders>
              <w:top w:val="nil"/>
              <w:left w:val="nil"/>
              <w:bottom w:val="single" w:sz="4" w:space="0" w:color="auto"/>
              <w:right w:val="single" w:sz="4" w:space="0" w:color="auto"/>
            </w:tcBorders>
            <w:vAlign w:val="center"/>
            <w:hideMark/>
          </w:tcPr>
          <w:p w14:paraId="54A96543" w14:textId="39F78708" w:rsidR="00A86F52" w:rsidRPr="00A740E0" w:rsidRDefault="00A740E0" w:rsidP="00401EE8">
            <w:pPr>
              <w:ind w:firstLine="0"/>
              <w:jc w:val="both"/>
              <w:rPr>
                <w:rFonts w:ascii="Times New Roman" w:eastAsia="Times New Roman" w:hAnsi="Times New Roman" w:cs="Times New Roman"/>
                <w:bCs/>
                <w:sz w:val="20"/>
                <w:szCs w:val="20"/>
                <w:lang w:eastAsia="pt-BR"/>
              </w:rPr>
            </w:pPr>
            <w:r w:rsidRPr="00A740E0">
              <w:rPr>
                <w:rFonts w:ascii="Times New Roman" w:eastAsia="Times New Roman" w:hAnsi="Times New Roman" w:cs="Times New Roman"/>
                <w:bCs/>
                <w:sz w:val="20"/>
                <w:szCs w:val="20"/>
                <w:lang w:eastAsia="pt-BR"/>
              </w:rPr>
              <w:t>Em implementação</w:t>
            </w:r>
          </w:p>
        </w:tc>
      </w:tr>
      <w:tr w:rsidR="00F33FD2" w:rsidRPr="00677E67" w14:paraId="17B0E68C" w14:textId="77777777" w:rsidTr="008A6698">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8E764C2" w14:textId="39D175A9" w:rsidR="00B209C4" w:rsidRPr="00677E67" w:rsidRDefault="00B209C4" w:rsidP="00401EE8">
            <w:pPr>
              <w:ind w:firstLine="0"/>
              <w:jc w:val="both"/>
              <w:rPr>
                <w:rFonts w:ascii="Times New Roman" w:hAnsi="Times New Roman" w:cs="Times New Roman"/>
                <w:b/>
                <w:color w:val="000000"/>
                <w:sz w:val="20"/>
                <w:szCs w:val="20"/>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2023</w:t>
            </w:r>
            <w:r w:rsidRPr="00677E67">
              <w:rPr>
                <w:rFonts w:ascii="Times New Roman" w:eastAsia="Times New Roman" w:hAnsi="Times New Roman" w:cs="Times New Roman"/>
                <w:b/>
                <w:bCs/>
                <w:sz w:val="20"/>
                <w:szCs w:val="20"/>
                <w:lang w:eastAsia="pt-BR"/>
              </w:rPr>
              <w:t xml:space="preserve"> (id. </w:t>
            </w:r>
            <w:r w:rsidR="003003EB" w:rsidRPr="00B7185F">
              <w:rPr>
                <w:rFonts w:ascii="Times New Roman" w:hAnsi="Times New Roman" w:cs="Times New Roman"/>
                <w:sz w:val="20"/>
                <w:szCs w:val="20"/>
                <w:shd w:val="clear" w:color="auto" w:fill="EDEDED"/>
              </w:rPr>
              <w:t>0699300</w:t>
            </w:r>
            <w:r w:rsidRPr="00677E67">
              <w:rPr>
                <w:rFonts w:ascii="Times New Roman" w:eastAsia="Times New Roman" w:hAnsi="Times New Roman" w:cs="Times New Roman"/>
                <w:b/>
                <w:bCs/>
                <w:sz w:val="20"/>
                <w:szCs w:val="20"/>
                <w:lang w:eastAsia="pt-BR"/>
              </w:rPr>
              <w:t>)</w:t>
            </w:r>
          </w:p>
          <w:p w14:paraId="60116DDF" w14:textId="77777777" w:rsidR="00F33FD2" w:rsidRPr="00677E67" w:rsidRDefault="00B209C4" w:rsidP="00401EE8">
            <w:pPr>
              <w:ind w:firstLine="0"/>
              <w:jc w:val="both"/>
              <w:rPr>
                <w:rFonts w:ascii="Times New Roman" w:eastAsia="Times New Roman" w:hAnsi="Times New Roman" w:cs="Times New Roman"/>
                <w:b/>
                <w:sz w:val="20"/>
                <w:szCs w:val="20"/>
                <w:lang w:eastAsia="pt-BR"/>
              </w:rPr>
            </w:pPr>
            <w:r w:rsidRPr="00677E67">
              <w:rPr>
                <w:rFonts w:ascii="Times New Roman" w:hAnsi="Times New Roman" w:cs="Times New Roman"/>
                <w:b/>
                <w:bCs/>
                <w:color w:val="000000"/>
                <w:sz w:val="20"/>
                <w:szCs w:val="20"/>
              </w:rPr>
              <w:t>4.3 Classificação contábil de bens móveis em desacordo com a natureza de despesa</w:t>
            </w:r>
          </w:p>
        </w:tc>
      </w:tr>
      <w:tr w:rsidR="00F33FD2" w:rsidRPr="00677E67" w14:paraId="0B363875" w14:textId="77777777" w:rsidTr="00D16D95">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88936DD" w14:textId="77777777" w:rsidR="00F33FD2" w:rsidRPr="00677E67" w:rsidRDefault="00F33FD2"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430AAA5B" w14:textId="77B4373D" w:rsidR="00F33FD2" w:rsidRPr="00677E67" w:rsidRDefault="00B209C4" w:rsidP="00401EE8">
            <w:pPr>
              <w:pStyle w:val="PargrafodaLista"/>
              <w:numPr>
                <w:ilvl w:val="0"/>
                <w:numId w:val="25"/>
              </w:numPr>
              <w:tabs>
                <w:tab w:val="left" w:pos="490"/>
              </w:tabs>
              <w:ind w:left="65" w:firstLine="0"/>
              <w:jc w:val="both"/>
              <w:rPr>
                <w:rFonts w:ascii="Times New Roman" w:eastAsia="Times New Roman" w:hAnsi="Times New Roman" w:cs="Times New Roman"/>
                <w:b/>
                <w:sz w:val="20"/>
                <w:szCs w:val="20"/>
                <w:lang w:eastAsia="pt-BR"/>
              </w:rPr>
            </w:pPr>
            <w:r w:rsidRPr="00677E67">
              <w:rPr>
                <w:rFonts w:ascii="Times New Roman" w:hAnsi="Times New Roman" w:cs="Times New Roman"/>
                <w:color w:val="000000"/>
                <w:sz w:val="20"/>
                <w:szCs w:val="20"/>
              </w:rPr>
              <w:t>Reitera-se à SEMAP/SECAM a recomendação expressa no Relatório Preliminar de Comunicações de Distorções (id. </w:t>
            </w:r>
            <w:r w:rsidRPr="00B7185F">
              <w:rPr>
                <w:rFonts w:ascii="Times New Roman" w:hAnsi="Times New Roman" w:cs="Times New Roman"/>
                <w:sz w:val="20"/>
                <w:szCs w:val="20"/>
              </w:rPr>
              <w:t>0557268</w:t>
            </w:r>
            <w:r w:rsidRPr="00677E67">
              <w:rPr>
                <w:rFonts w:ascii="Times New Roman" w:hAnsi="Times New Roman" w:cs="Times New Roman"/>
                <w:color w:val="000000"/>
                <w:sz w:val="20"/>
                <w:szCs w:val="20"/>
              </w:rPr>
              <w:t>) para reclassificar os bens registrados na conta contábil 12311.02.01 – Equipamentos de Tecnologia da Informação e Comunicação/</w:t>
            </w:r>
            <w:proofErr w:type="spellStart"/>
            <w:r w:rsidRPr="00677E67">
              <w:rPr>
                <w:rFonts w:ascii="Times New Roman" w:hAnsi="Times New Roman" w:cs="Times New Roman"/>
                <w:color w:val="000000"/>
                <w:sz w:val="20"/>
                <w:szCs w:val="20"/>
              </w:rPr>
              <w:t>Tic</w:t>
            </w:r>
            <w:proofErr w:type="spellEnd"/>
            <w:r w:rsidRPr="00677E67">
              <w:rPr>
                <w:rFonts w:ascii="Times New Roman" w:hAnsi="Times New Roman" w:cs="Times New Roman"/>
                <w:color w:val="000000"/>
                <w:sz w:val="20"/>
                <w:szCs w:val="20"/>
              </w:rPr>
              <w:t>, cuja natureza de despesa adequada seja 4490.52.42 – Mobiliário em geral, para a conta contábil 12311.03.03 – Mobiliário em geral.</w:t>
            </w:r>
          </w:p>
        </w:tc>
      </w:tr>
      <w:tr w:rsidR="00363A24" w:rsidRPr="00677E67" w14:paraId="734F34A7" w14:textId="77777777" w:rsidTr="00D16D95">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A209A59" w14:textId="77777777" w:rsidR="00363A24" w:rsidRPr="00677E67" w:rsidRDefault="00363A24"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0FCE2ADE" w14:textId="77777777" w:rsidR="00363A24" w:rsidRPr="00677E67" w:rsidRDefault="00363A24" w:rsidP="00401EE8">
            <w:pPr>
              <w:ind w:firstLine="0"/>
              <w:jc w:val="both"/>
              <w:rPr>
                <w:rFonts w:ascii="Times New Roman" w:eastAsia="Times New Roman" w:hAnsi="Times New Roman" w:cs="Times New Roman"/>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363A24" w:rsidRPr="00677E67" w14:paraId="73C25F4B" w14:textId="77777777" w:rsidTr="00D16D95">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0A3D8BD" w14:textId="77777777" w:rsidR="00363A24" w:rsidRPr="00677E67" w:rsidRDefault="00363A24"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2F763031" w14:textId="54FFCD43" w:rsidR="00363A24" w:rsidRDefault="007777FF" w:rsidP="00401EE8">
            <w:pPr>
              <w:pStyle w:val="tabelatextojustificado"/>
              <w:spacing w:before="0" w:beforeAutospacing="0" w:after="0" w:afterAutospacing="0"/>
              <w:ind w:left="60" w:right="60" w:firstLine="0"/>
              <w:jc w:val="both"/>
              <w:rPr>
                <w:sz w:val="20"/>
                <w:szCs w:val="20"/>
              </w:rPr>
            </w:pPr>
            <w:r>
              <w:rPr>
                <w:sz w:val="20"/>
                <w:szCs w:val="20"/>
              </w:rPr>
              <w:t xml:space="preserve">Relatório SEMAP (id. </w:t>
            </w:r>
            <w:r w:rsidRPr="00CA3098">
              <w:rPr>
                <w:sz w:val="20"/>
                <w:szCs w:val="20"/>
              </w:rPr>
              <w:t>1668782</w:t>
            </w:r>
            <w:r>
              <w:rPr>
                <w:sz w:val="20"/>
                <w:szCs w:val="20"/>
              </w:rPr>
              <w:t>): “</w:t>
            </w:r>
            <w:r w:rsidRPr="007777FF">
              <w:rPr>
                <w:sz w:val="20"/>
                <w:szCs w:val="20"/>
              </w:rPr>
              <w:t>Informamos que a impropriedade reportada neste item da solicitação de auditoria foi integralmente saneada.</w:t>
            </w:r>
            <w:r>
              <w:rPr>
                <w:sz w:val="20"/>
                <w:szCs w:val="20"/>
              </w:rPr>
              <w:t xml:space="preserve"> </w:t>
            </w:r>
            <w:r w:rsidRPr="007777FF">
              <w:rPr>
                <w:sz w:val="20"/>
                <w:szCs w:val="20"/>
              </w:rPr>
              <w:t>A divergência entre o registro patrimonial e a execução orçamentária decorria de um desalinhamento na codificação dos itens de despesa no momento do empenho e do recebimento definitivo dos materiais.</w:t>
            </w:r>
          </w:p>
          <w:p w14:paraId="42530A9C" w14:textId="77777777" w:rsidR="007777FF" w:rsidRDefault="007777FF" w:rsidP="007777FF">
            <w:pPr>
              <w:pStyle w:val="tabelatextojustificado"/>
              <w:spacing w:before="0" w:beforeAutospacing="0" w:after="0" w:afterAutospacing="0"/>
              <w:ind w:left="60" w:right="60" w:firstLine="0"/>
              <w:jc w:val="both"/>
              <w:rPr>
                <w:b/>
                <w:bCs/>
                <w:sz w:val="20"/>
                <w:szCs w:val="20"/>
              </w:rPr>
            </w:pPr>
            <w:r w:rsidRPr="007777FF">
              <w:rPr>
                <w:b/>
                <w:bCs/>
                <w:sz w:val="20"/>
                <w:szCs w:val="20"/>
              </w:rPr>
              <w:t>Medidas Adotadas:</w:t>
            </w:r>
          </w:p>
          <w:p w14:paraId="3661B840" w14:textId="77777777" w:rsidR="007777FF" w:rsidRDefault="007777FF" w:rsidP="007777FF">
            <w:pPr>
              <w:pStyle w:val="tabelatextojustificado"/>
              <w:numPr>
                <w:ilvl w:val="0"/>
                <w:numId w:val="25"/>
              </w:numPr>
              <w:spacing w:before="0" w:beforeAutospacing="0" w:after="0" w:afterAutospacing="0"/>
              <w:ind w:left="349" w:right="60" w:hanging="141"/>
              <w:jc w:val="both"/>
              <w:rPr>
                <w:sz w:val="20"/>
                <w:szCs w:val="20"/>
              </w:rPr>
            </w:pPr>
            <w:r w:rsidRPr="007777FF">
              <w:rPr>
                <w:sz w:val="20"/>
                <w:szCs w:val="20"/>
              </w:rPr>
              <w:t>Reclassificação Contábil: Foi procedida a análise individualizada dos itens apontados, com a devida transferência dos saldos das contas de ativos incorretos para as contas patrimoniais adequadas, observando a distinção entre Equipamento de Tecnologia da Informação e Comunicação/TIC, cuja natureza de despesa seja 4490.52.42 – Mobiliário em Geral; (Vide ID1668620)</w:t>
            </w:r>
          </w:p>
          <w:p w14:paraId="2C0C8D5E" w14:textId="033052E2" w:rsidR="007777FF" w:rsidRDefault="007777FF" w:rsidP="007777FF">
            <w:pPr>
              <w:pStyle w:val="tabelatextojustificado"/>
              <w:numPr>
                <w:ilvl w:val="0"/>
                <w:numId w:val="25"/>
              </w:numPr>
              <w:spacing w:before="0" w:beforeAutospacing="0" w:after="0" w:afterAutospacing="0"/>
              <w:ind w:left="349" w:right="60" w:hanging="141"/>
              <w:jc w:val="both"/>
              <w:rPr>
                <w:sz w:val="20"/>
                <w:szCs w:val="20"/>
              </w:rPr>
            </w:pPr>
            <w:r w:rsidRPr="007777FF">
              <w:rPr>
                <w:sz w:val="20"/>
                <w:szCs w:val="20"/>
              </w:rPr>
              <w:t xml:space="preserve">Ajuste de Sistema: Realizou-se a atualização do </w:t>
            </w:r>
            <w:proofErr w:type="spellStart"/>
            <w:r w:rsidRPr="007777FF">
              <w:rPr>
                <w:sz w:val="20"/>
                <w:szCs w:val="20"/>
              </w:rPr>
              <w:t>De-Para</w:t>
            </w:r>
            <w:proofErr w:type="spellEnd"/>
            <w:r w:rsidRPr="007777FF">
              <w:rPr>
                <w:sz w:val="20"/>
                <w:szCs w:val="20"/>
              </w:rPr>
              <w:t xml:space="preserve"> nos sistemas integrados de Gestão Patrimonial e Contábil, vinculando cada elemento de </w:t>
            </w:r>
            <w:r w:rsidRPr="007777FF">
              <w:rPr>
                <w:sz w:val="20"/>
                <w:szCs w:val="20"/>
              </w:rPr>
              <w:lastRenderedPageBreak/>
              <w:t>despesa (12311.02.01) à sua respectiva conta contábil de ativo imobilizado – Mobiliário em geral (12311.03</w:t>
            </w:r>
            <w:r w:rsidR="00D87CD6">
              <w:rPr>
                <w:sz w:val="20"/>
                <w:szCs w:val="20"/>
              </w:rPr>
              <w:t>.</w:t>
            </w:r>
            <w:r w:rsidRPr="007777FF">
              <w:rPr>
                <w:sz w:val="20"/>
                <w:szCs w:val="20"/>
              </w:rPr>
              <w:t>03);</w:t>
            </w:r>
          </w:p>
          <w:p w14:paraId="08E686F3" w14:textId="77777777" w:rsidR="007777FF" w:rsidRPr="007777FF" w:rsidRDefault="007777FF" w:rsidP="007777FF">
            <w:pPr>
              <w:pStyle w:val="tabelatextojustificado"/>
              <w:numPr>
                <w:ilvl w:val="0"/>
                <w:numId w:val="25"/>
              </w:numPr>
              <w:spacing w:before="0" w:beforeAutospacing="0" w:after="0" w:afterAutospacing="0"/>
              <w:ind w:left="349" w:right="60" w:hanging="141"/>
              <w:jc w:val="both"/>
              <w:rPr>
                <w:b/>
                <w:bCs/>
                <w:sz w:val="20"/>
                <w:szCs w:val="20"/>
              </w:rPr>
            </w:pPr>
            <w:r w:rsidRPr="007777FF">
              <w:rPr>
                <w:sz w:val="20"/>
                <w:szCs w:val="20"/>
              </w:rPr>
              <w:t>Conciliação: Foi efetuada a conciliação entre o Relatório de Bens Móveis do almoxarifado/patrimônio e o Balancete Contábil, assegurando que o valor registrado em estoque/imobilizado reflete a realidade física e financeira;  </w:t>
            </w:r>
          </w:p>
          <w:p w14:paraId="49246A55" w14:textId="77777777" w:rsidR="007777FF" w:rsidRDefault="007777FF" w:rsidP="007777FF">
            <w:pPr>
              <w:pStyle w:val="tabelatextojustificado"/>
              <w:spacing w:before="0" w:beforeAutospacing="0" w:after="0" w:afterAutospacing="0"/>
              <w:ind w:left="66" w:right="60" w:firstLine="0"/>
              <w:jc w:val="both"/>
              <w:rPr>
                <w:b/>
                <w:bCs/>
                <w:sz w:val="20"/>
                <w:szCs w:val="20"/>
              </w:rPr>
            </w:pPr>
            <w:r w:rsidRPr="007777FF">
              <w:rPr>
                <w:b/>
                <w:bCs/>
                <w:sz w:val="20"/>
                <w:szCs w:val="20"/>
              </w:rPr>
              <w:t>Informação:</w:t>
            </w:r>
          </w:p>
          <w:p w14:paraId="68BE9E0E" w14:textId="1A6B56C9" w:rsidR="007777FF" w:rsidRPr="00677E67" w:rsidRDefault="007777FF" w:rsidP="007777FF">
            <w:pPr>
              <w:pStyle w:val="tabelatextojustificado"/>
              <w:spacing w:before="0" w:beforeAutospacing="0" w:after="0" w:afterAutospacing="0"/>
              <w:ind w:left="66" w:right="60" w:firstLine="0"/>
              <w:jc w:val="both"/>
              <w:rPr>
                <w:sz w:val="20"/>
                <w:szCs w:val="20"/>
              </w:rPr>
            </w:pPr>
            <w:r w:rsidRPr="007777FF">
              <w:rPr>
                <w:sz w:val="20"/>
                <w:szCs w:val="20"/>
              </w:rPr>
              <w:t>Com a adoção dessas medidas, a SEMAP restabeleceu a fidedignidade dos registros contábeis, garantindo que a classificação dos bens móveis guarde estrita observância à natureza da despesa orçamentária correspondente, conforme as normas vigentes de contabilidade pública</w:t>
            </w:r>
            <w:r w:rsidR="0060644C">
              <w:rPr>
                <w:sz w:val="20"/>
                <w:szCs w:val="20"/>
              </w:rPr>
              <w:t>”.</w:t>
            </w:r>
          </w:p>
        </w:tc>
      </w:tr>
      <w:tr w:rsidR="00363A24" w:rsidRPr="00677E67" w14:paraId="6E22A156" w14:textId="77777777" w:rsidTr="00D16D95">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CEA2C8" w14:textId="77777777" w:rsidR="00363A24" w:rsidRPr="00677E67" w:rsidRDefault="00363A24"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lastRenderedPageBreak/>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4C4780BD" w14:textId="34C3B34F" w:rsidR="00363A24" w:rsidRPr="00677E67" w:rsidRDefault="00B74219" w:rsidP="00401EE8">
            <w:pPr>
              <w:pStyle w:val="tabelatextojustificado"/>
              <w:spacing w:before="0" w:beforeAutospacing="0" w:after="0" w:afterAutospacing="0"/>
              <w:ind w:left="60" w:right="60" w:firstLine="0"/>
              <w:jc w:val="both"/>
              <w:rPr>
                <w:color w:val="000000"/>
                <w:sz w:val="20"/>
                <w:szCs w:val="20"/>
              </w:rPr>
            </w:pPr>
            <w:r w:rsidRPr="00B74219">
              <w:rPr>
                <w:color w:val="000000"/>
                <w:sz w:val="20"/>
                <w:szCs w:val="20"/>
              </w:rPr>
              <w:t>A partir da análise das informações e evidências encaminhadas pela unidade</w:t>
            </w:r>
            <w:r w:rsidR="00416A9F">
              <w:rPr>
                <w:color w:val="000000"/>
                <w:sz w:val="20"/>
                <w:szCs w:val="20"/>
              </w:rPr>
              <w:t xml:space="preserve"> auditada</w:t>
            </w:r>
            <w:r w:rsidRPr="00B74219">
              <w:rPr>
                <w:color w:val="000000"/>
                <w:sz w:val="20"/>
                <w:szCs w:val="20"/>
              </w:rPr>
              <w:t>, verificou-se a adoção de medidas voltadas à reclassificação contábil dos bens e à correção dos registros patrimoniais. Assim, considera-se a recomendação implementada.</w:t>
            </w:r>
          </w:p>
        </w:tc>
      </w:tr>
      <w:tr w:rsidR="00363A24" w:rsidRPr="00677E67" w14:paraId="1424E853" w14:textId="77777777" w:rsidTr="00D16D95">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1944672" w14:textId="77777777" w:rsidR="00363A24" w:rsidRPr="00677E67" w:rsidRDefault="00363A24" w:rsidP="00401EE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705F53F6" w14:textId="64DD547C" w:rsidR="00363A24" w:rsidRPr="00D54057" w:rsidRDefault="00D54057" w:rsidP="00401EE8">
            <w:pPr>
              <w:ind w:firstLine="0"/>
              <w:jc w:val="both"/>
              <w:rPr>
                <w:rFonts w:ascii="Times New Roman" w:eastAsia="Times New Roman" w:hAnsi="Times New Roman" w:cs="Times New Roman"/>
                <w:bCs/>
                <w:sz w:val="20"/>
                <w:szCs w:val="20"/>
                <w:lang w:eastAsia="pt-BR"/>
              </w:rPr>
            </w:pPr>
            <w:r w:rsidRPr="00D54057">
              <w:rPr>
                <w:rFonts w:ascii="Times New Roman" w:eastAsia="Times New Roman" w:hAnsi="Times New Roman" w:cs="Times New Roman"/>
                <w:bCs/>
                <w:sz w:val="20"/>
                <w:szCs w:val="20"/>
                <w:lang w:eastAsia="pt-BR"/>
              </w:rPr>
              <w:t>Implementada</w:t>
            </w:r>
          </w:p>
        </w:tc>
      </w:tr>
      <w:tr w:rsidR="00552F7D" w:rsidRPr="00677E67" w14:paraId="2E1683C8" w14:textId="77777777" w:rsidTr="001A702E">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FBE2EBA" w14:textId="4E94F927" w:rsidR="00552F7D" w:rsidRPr="00677E67" w:rsidRDefault="00552F7D" w:rsidP="00552F7D">
            <w:pPr>
              <w:ind w:firstLine="0"/>
              <w:jc w:val="both"/>
              <w:rPr>
                <w:rFonts w:ascii="Times New Roman" w:hAnsi="Times New Roman" w:cs="Times New Roman"/>
                <w:b/>
                <w:color w:val="000000"/>
                <w:sz w:val="20"/>
                <w:szCs w:val="20"/>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2024</w:t>
            </w:r>
            <w:r w:rsidRPr="00677E67">
              <w:rPr>
                <w:rFonts w:ascii="Times New Roman" w:eastAsia="Times New Roman" w:hAnsi="Times New Roman" w:cs="Times New Roman"/>
                <w:b/>
                <w:bCs/>
                <w:sz w:val="20"/>
                <w:szCs w:val="20"/>
                <w:lang w:eastAsia="pt-BR"/>
              </w:rPr>
              <w:t xml:space="preserve"> (id.</w:t>
            </w:r>
            <w:r w:rsidRPr="00552F7D">
              <w:t xml:space="preserve"> </w:t>
            </w:r>
            <w:r w:rsidRPr="00B7185F">
              <w:rPr>
                <w:rFonts w:ascii="Times New Roman" w:eastAsia="Times New Roman" w:hAnsi="Times New Roman" w:cs="Times New Roman"/>
                <w:sz w:val="20"/>
                <w:szCs w:val="20"/>
                <w:lang w:eastAsia="pt-BR"/>
              </w:rPr>
              <w:t>1174391</w:t>
            </w:r>
            <w:r w:rsidRPr="00677E67">
              <w:rPr>
                <w:rFonts w:ascii="Times New Roman" w:eastAsia="Times New Roman" w:hAnsi="Times New Roman" w:cs="Times New Roman"/>
                <w:b/>
                <w:bCs/>
                <w:sz w:val="20"/>
                <w:szCs w:val="20"/>
                <w:lang w:eastAsia="pt-BR"/>
              </w:rPr>
              <w:t>)</w:t>
            </w:r>
          </w:p>
          <w:p w14:paraId="468D1975" w14:textId="249335CC" w:rsidR="00552F7D" w:rsidRPr="00677E67" w:rsidRDefault="00D16D95" w:rsidP="00401EE8">
            <w:pPr>
              <w:ind w:firstLine="0"/>
              <w:jc w:val="both"/>
              <w:rPr>
                <w:rFonts w:ascii="Times New Roman" w:eastAsia="Times New Roman" w:hAnsi="Times New Roman" w:cs="Times New Roman"/>
                <w:b/>
                <w:sz w:val="20"/>
                <w:szCs w:val="20"/>
                <w:lang w:eastAsia="pt-BR"/>
              </w:rPr>
            </w:pPr>
            <w:r w:rsidRPr="00D16D95">
              <w:rPr>
                <w:rFonts w:ascii="Times New Roman" w:hAnsi="Times New Roman" w:cs="Times New Roman"/>
                <w:b/>
                <w:bCs/>
                <w:color w:val="000000"/>
                <w:sz w:val="20"/>
                <w:szCs w:val="20"/>
              </w:rPr>
              <w:t>4.1 - Ausência de reavaliação dos imóveis de uso especial sob a responsabilidade do Tribunal</w:t>
            </w:r>
          </w:p>
        </w:tc>
      </w:tr>
      <w:tr w:rsidR="00D16D95" w:rsidRPr="00677E67" w14:paraId="11174407"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0461E2A" w14:textId="08532B37" w:rsidR="00D16D95" w:rsidRPr="00677E67" w:rsidRDefault="00D16D95" w:rsidP="00D16D95">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Recomendaç</w:t>
            </w:r>
            <w:r w:rsidR="00C42D65">
              <w:rPr>
                <w:rFonts w:ascii="Times New Roman" w:eastAsia="Times New Roman" w:hAnsi="Times New Roman" w:cs="Times New Roman"/>
                <w:b/>
                <w:bCs/>
                <w:sz w:val="20"/>
                <w:szCs w:val="20"/>
                <w:lang w:eastAsia="pt-BR"/>
              </w:rPr>
              <w:t>ões</w:t>
            </w:r>
          </w:p>
        </w:tc>
        <w:tc>
          <w:tcPr>
            <w:tcW w:w="6800" w:type="dxa"/>
            <w:tcBorders>
              <w:top w:val="single" w:sz="4" w:space="0" w:color="auto"/>
              <w:left w:val="single" w:sz="4" w:space="0" w:color="auto"/>
              <w:bottom w:val="single" w:sz="4" w:space="0" w:color="auto"/>
              <w:right w:val="single" w:sz="4" w:space="0" w:color="auto"/>
            </w:tcBorders>
            <w:vAlign w:val="center"/>
          </w:tcPr>
          <w:p w14:paraId="2447CF0F" w14:textId="77777777" w:rsidR="00D16D95" w:rsidRPr="002E307B" w:rsidRDefault="009C0469" w:rsidP="009C0469">
            <w:pPr>
              <w:pStyle w:val="PargrafodaLista"/>
              <w:numPr>
                <w:ilvl w:val="0"/>
                <w:numId w:val="25"/>
              </w:numPr>
              <w:tabs>
                <w:tab w:val="left" w:pos="490"/>
              </w:tabs>
              <w:ind w:left="65" w:firstLine="0"/>
              <w:jc w:val="both"/>
              <w:rPr>
                <w:rFonts w:ascii="Times New Roman" w:eastAsia="Times New Roman" w:hAnsi="Times New Roman" w:cs="Times New Roman"/>
                <w:sz w:val="20"/>
                <w:szCs w:val="20"/>
                <w:lang w:eastAsia="pt-BR"/>
              </w:rPr>
            </w:pPr>
            <w:r w:rsidRPr="009C0469">
              <w:rPr>
                <w:rFonts w:ascii="Times New Roman" w:hAnsi="Times New Roman" w:cs="Times New Roman"/>
                <w:color w:val="000000"/>
                <w:sz w:val="20"/>
                <w:szCs w:val="20"/>
              </w:rPr>
              <w:t>Recomenda-se à SEMAP/SECAM elaborar um plano de ação para viabilizar a reavaliação de todos os imóveis da Justiça Federal da 6ª Região com avaliações vencidas, nos termos da Portaria Conjunta STN/SPU, nº 10, de 04/07/2023, antes do encerramento do exercício de 2025, a fim de assegurar que as demonstrações contábeis reflitam fidedignamente a situação patrimonial do Tribunal.</w:t>
            </w:r>
          </w:p>
          <w:p w14:paraId="3B178A09" w14:textId="6D06A6FB" w:rsidR="002E307B" w:rsidRPr="009C0469" w:rsidRDefault="002E307B" w:rsidP="009C0469">
            <w:pPr>
              <w:pStyle w:val="PargrafodaLista"/>
              <w:numPr>
                <w:ilvl w:val="0"/>
                <w:numId w:val="25"/>
              </w:numPr>
              <w:tabs>
                <w:tab w:val="left" w:pos="490"/>
              </w:tabs>
              <w:ind w:left="65" w:firstLine="0"/>
              <w:jc w:val="both"/>
              <w:rPr>
                <w:rFonts w:ascii="Times New Roman" w:eastAsia="Times New Roman" w:hAnsi="Times New Roman" w:cs="Times New Roman"/>
                <w:sz w:val="20"/>
                <w:szCs w:val="20"/>
                <w:lang w:eastAsia="pt-BR"/>
              </w:rPr>
            </w:pPr>
            <w:r w:rsidRPr="002E307B">
              <w:rPr>
                <w:rFonts w:ascii="Times New Roman" w:eastAsia="Times New Roman" w:hAnsi="Times New Roman" w:cs="Times New Roman"/>
                <w:sz w:val="20"/>
                <w:szCs w:val="20"/>
                <w:lang w:eastAsia="pt-BR"/>
              </w:rPr>
              <w:t>Recomenda-se à SEMAP/SECAM a adoção de mecanismos de controle com vistas ao acompanhamento das datas de avaliação dos imóveis da União sob responsabilidade da Justiça Federal da 6ª Região, a fim de que sejam tomadas providências para a reavaliação desses imóveis em tempo hábil, nos termos da Portaria Conjunta retromencionada.</w:t>
            </w:r>
          </w:p>
        </w:tc>
      </w:tr>
      <w:tr w:rsidR="00D16D95" w:rsidRPr="00677E67" w14:paraId="49E88B84"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1F6A518" w14:textId="38AFC276" w:rsidR="00D16D95" w:rsidRPr="00677E67" w:rsidRDefault="00D16D95" w:rsidP="00D16D95">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5E2844E9" w14:textId="4062755B" w:rsidR="00D16D95" w:rsidRPr="00677E67" w:rsidRDefault="00AD3111" w:rsidP="00D16D95">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D16D95" w:rsidRPr="00677E67" w14:paraId="5EB27386"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0C0E3F4" w14:textId="21A48633" w:rsidR="00D16D95" w:rsidRPr="00677E67" w:rsidRDefault="00D16D95" w:rsidP="00D16D95">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410B2C10" w14:textId="77777777" w:rsidR="00D16D95" w:rsidRDefault="00D6214B" w:rsidP="00D16D95">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Relatório SEMAP (id. </w:t>
            </w:r>
            <w:r w:rsidRPr="00CA3098">
              <w:rPr>
                <w:rFonts w:ascii="Times New Roman" w:eastAsia="Times New Roman" w:hAnsi="Times New Roman" w:cs="Times New Roman"/>
                <w:sz w:val="20"/>
                <w:szCs w:val="20"/>
                <w:lang w:eastAsia="pt-BR"/>
              </w:rPr>
              <w:t>1668782</w:t>
            </w:r>
            <w:r>
              <w:rPr>
                <w:rFonts w:ascii="Times New Roman" w:eastAsia="Times New Roman" w:hAnsi="Times New Roman" w:cs="Times New Roman"/>
                <w:sz w:val="20"/>
                <w:szCs w:val="20"/>
                <w:lang w:eastAsia="pt-BR"/>
              </w:rPr>
              <w:t>): “</w:t>
            </w:r>
            <w:r w:rsidR="00D02149" w:rsidRPr="00D02149">
              <w:rPr>
                <w:rFonts w:ascii="Times New Roman" w:eastAsia="Times New Roman" w:hAnsi="Times New Roman" w:cs="Times New Roman"/>
                <w:sz w:val="20"/>
                <w:szCs w:val="20"/>
                <w:lang w:eastAsia="pt-BR"/>
              </w:rPr>
              <w:t>Em atenção ao apontamento de auditoria referente à ausência de reavaliação dos imóveis de uso especial sob a responsabilidade do Tribunal, conforme manifestação ID 1646363 e e-mails ID1666701, informa-se que a unidade tomou ciência da necessidade de atualização dos valores patrimoniais dos referidos bens. Conforme estabelece a ABNT NBR 14653, a avaliação e reavaliação patrimonial de imóveis deve ser realizada por profissional habilitado, em regra engenheiro civil, com</w:t>
            </w:r>
            <w:r w:rsidR="00D02149">
              <w:rPr>
                <w:rFonts w:ascii="Times New Roman" w:eastAsia="Times New Roman" w:hAnsi="Times New Roman" w:cs="Times New Roman"/>
                <w:sz w:val="20"/>
                <w:szCs w:val="20"/>
                <w:lang w:eastAsia="pt-BR"/>
              </w:rPr>
              <w:t xml:space="preserve"> </w:t>
            </w:r>
            <w:r w:rsidR="00D02149" w:rsidRPr="00D02149">
              <w:rPr>
                <w:rFonts w:ascii="Times New Roman" w:eastAsia="Times New Roman" w:hAnsi="Times New Roman" w:cs="Times New Roman"/>
                <w:sz w:val="20"/>
                <w:szCs w:val="20"/>
                <w:lang w:eastAsia="pt-BR"/>
              </w:rPr>
              <w:t>registro no CREA e emissão de ART, ou arquiteto, com registro no CAU e emissão de</w:t>
            </w:r>
            <w:r w:rsidR="00D02149">
              <w:rPr>
                <w:rFonts w:ascii="Times New Roman" w:eastAsia="Times New Roman" w:hAnsi="Times New Roman" w:cs="Times New Roman"/>
                <w:sz w:val="20"/>
                <w:szCs w:val="20"/>
                <w:lang w:eastAsia="pt-BR"/>
              </w:rPr>
              <w:t xml:space="preserve"> </w:t>
            </w:r>
            <w:r w:rsidR="00D02149" w:rsidRPr="00D02149">
              <w:rPr>
                <w:rFonts w:ascii="Times New Roman" w:eastAsia="Times New Roman" w:hAnsi="Times New Roman" w:cs="Times New Roman"/>
                <w:sz w:val="20"/>
                <w:szCs w:val="20"/>
                <w:lang w:eastAsia="pt-BR"/>
              </w:rPr>
              <w:t>RRT</w:t>
            </w:r>
            <w:r w:rsidR="00F80980">
              <w:rPr>
                <w:rFonts w:ascii="Times New Roman" w:eastAsia="Times New Roman" w:hAnsi="Times New Roman" w:cs="Times New Roman"/>
                <w:sz w:val="20"/>
                <w:szCs w:val="20"/>
                <w:lang w:eastAsia="pt-BR"/>
              </w:rPr>
              <w:t>.</w:t>
            </w:r>
          </w:p>
          <w:p w14:paraId="5828C8E4" w14:textId="0DE7E2DE" w:rsidR="00F80980" w:rsidRDefault="00F80980" w:rsidP="00D16D95">
            <w:pPr>
              <w:ind w:firstLine="0"/>
              <w:jc w:val="both"/>
              <w:rPr>
                <w:rFonts w:ascii="Times New Roman" w:eastAsia="Times New Roman" w:hAnsi="Times New Roman" w:cs="Times New Roman"/>
                <w:b/>
                <w:bCs/>
                <w:sz w:val="20"/>
                <w:szCs w:val="20"/>
                <w:lang w:eastAsia="pt-BR"/>
              </w:rPr>
            </w:pPr>
            <w:r w:rsidRPr="00F80980">
              <w:rPr>
                <w:rFonts w:ascii="Times New Roman" w:eastAsia="Times New Roman" w:hAnsi="Times New Roman" w:cs="Times New Roman"/>
                <w:b/>
                <w:bCs/>
                <w:sz w:val="20"/>
                <w:szCs w:val="20"/>
                <w:lang w:eastAsia="pt-BR"/>
              </w:rPr>
              <w:t>Medidas Adotadas:</w:t>
            </w:r>
          </w:p>
          <w:p w14:paraId="6B695DAB" w14:textId="77777777" w:rsidR="00F80980" w:rsidRPr="00F80980" w:rsidRDefault="00F80980" w:rsidP="00F80980">
            <w:pPr>
              <w:numPr>
                <w:ilvl w:val="0"/>
                <w:numId w:val="55"/>
              </w:numPr>
              <w:tabs>
                <w:tab w:val="clear" w:pos="720"/>
              </w:tabs>
              <w:ind w:left="208" w:hanging="142"/>
              <w:jc w:val="both"/>
              <w:rPr>
                <w:rFonts w:ascii="Times New Roman" w:eastAsia="Times New Roman" w:hAnsi="Times New Roman" w:cs="Times New Roman"/>
                <w:sz w:val="20"/>
                <w:szCs w:val="20"/>
                <w:lang w:eastAsia="pt-BR"/>
              </w:rPr>
            </w:pPr>
            <w:r w:rsidRPr="00F80980">
              <w:rPr>
                <w:rFonts w:ascii="Times New Roman" w:eastAsia="Times New Roman" w:hAnsi="Times New Roman" w:cs="Times New Roman"/>
                <w:sz w:val="20"/>
                <w:szCs w:val="20"/>
                <w:lang w:eastAsia="pt-BR"/>
              </w:rPr>
              <w:t>Foram iniciadas providências administrativas visando à contratação de   profissional habilitado para elaboração de Laudo de Avaliação ou Relatório de Valor de Referência (RVR), Vide ID1646363);</w:t>
            </w:r>
          </w:p>
          <w:p w14:paraId="443B523F" w14:textId="77777777" w:rsidR="00F80980" w:rsidRPr="00F80980" w:rsidRDefault="00F80980" w:rsidP="00F80980">
            <w:pPr>
              <w:numPr>
                <w:ilvl w:val="0"/>
                <w:numId w:val="55"/>
              </w:numPr>
              <w:tabs>
                <w:tab w:val="clear" w:pos="720"/>
              </w:tabs>
              <w:ind w:left="208" w:hanging="142"/>
              <w:jc w:val="both"/>
              <w:rPr>
                <w:rFonts w:ascii="Times New Roman" w:eastAsia="Times New Roman" w:hAnsi="Times New Roman" w:cs="Times New Roman"/>
                <w:sz w:val="20"/>
                <w:szCs w:val="20"/>
                <w:lang w:eastAsia="pt-BR"/>
              </w:rPr>
            </w:pPr>
            <w:r w:rsidRPr="00F80980">
              <w:rPr>
                <w:rFonts w:ascii="Times New Roman" w:eastAsia="Times New Roman" w:hAnsi="Times New Roman" w:cs="Times New Roman"/>
                <w:sz w:val="20"/>
                <w:szCs w:val="20"/>
                <w:lang w:eastAsia="pt-BR"/>
              </w:rPr>
              <w:t> Levantamento das informações cadastrais dos imóveis, com vistas à posterior atualização dos valores nos registros patrimoniais e sistemas contábeis do Tribunal.</w:t>
            </w:r>
          </w:p>
          <w:p w14:paraId="32CF0EBC" w14:textId="77777777" w:rsidR="00F80980" w:rsidRPr="00F80980" w:rsidRDefault="00F80980" w:rsidP="00F80980">
            <w:pPr>
              <w:numPr>
                <w:ilvl w:val="0"/>
                <w:numId w:val="55"/>
              </w:numPr>
              <w:tabs>
                <w:tab w:val="clear" w:pos="720"/>
              </w:tabs>
              <w:ind w:left="208" w:hanging="142"/>
              <w:jc w:val="both"/>
              <w:rPr>
                <w:rFonts w:ascii="Times New Roman" w:eastAsia="Times New Roman" w:hAnsi="Times New Roman" w:cs="Times New Roman"/>
                <w:sz w:val="20"/>
                <w:szCs w:val="20"/>
                <w:lang w:eastAsia="pt-BR"/>
              </w:rPr>
            </w:pPr>
            <w:r w:rsidRPr="00F80980">
              <w:rPr>
                <w:rFonts w:ascii="Times New Roman" w:eastAsia="Times New Roman" w:hAnsi="Times New Roman" w:cs="Times New Roman"/>
                <w:sz w:val="20"/>
                <w:szCs w:val="20"/>
                <w:lang w:eastAsia="pt-BR"/>
              </w:rPr>
              <w:t> Prazo: Em execução.</w:t>
            </w:r>
          </w:p>
          <w:p w14:paraId="03181B6F" w14:textId="2269AF2E" w:rsidR="00F80980" w:rsidRDefault="00F80980" w:rsidP="00D16D95">
            <w:pPr>
              <w:ind w:firstLine="0"/>
              <w:jc w:val="both"/>
              <w:rPr>
                <w:rFonts w:ascii="Times New Roman" w:eastAsia="Times New Roman" w:hAnsi="Times New Roman" w:cs="Times New Roman"/>
                <w:b/>
                <w:bCs/>
                <w:sz w:val="20"/>
                <w:szCs w:val="20"/>
                <w:lang w:eastAsia="pt-BR"/>
              </w:rPr>
            </w:pPr>
            <w:r w:rsidRPr="00F80980">
              <w:rPr>
                <w:rFonts w:ascii="Times New Roman" w:eastAsia="Times New Roman" w:hAnsi="Times New Roman" w:cs="Times New Roman"/>
                <w:b/>
                <w:bCs/>
                <w:sz w:val="20"/>
                <w:szCs w:val="20"/>
                <w:lang w:eastAsia="pt-BR"/>
              </w:rPr>
              <w:t>Informação:</w:t>
            </w:r>
          </w:p>
          <w:p w14:paraId="72F5E72C" w14:textId="0AD392D9" w:rsidR="00F80980" w:rsidRPr="00F80980" w:rsidRDefault="00F80980" w:rsidP="00D16D95">
            <w:pPr>
              <w:ind w:firstLine="0"/>
              <w:jc w:val="both"/>
              <w:rPr>
                <w:rFonts w:ascii="Times New Roman" w:eastAsia="Times New Roman" w:hAnsi="Times New Roman" w:cs="Times New Roman"/>
                <w:sz w:val="20"/>
                <w:szCs w:val="20"/>
                <w:lang w:eastAsia="pt-BR"/>
              </w:rPr>
            </w:pPr>
            <w:r w:rsidRPr="00F80980">
              <w:rPr>
                <w:rFonts w:ascii="Times New Roman" w:eastAsia="Times New Roman" w:hAnsi="Times New Roman" w:cs="Times New Roman"/>
                <w:sz w:val="20"/>
                <w:szCs w:val="20"/>
                <w:lang w:eastAsia="pt-BR"/>
              </w:rPr>
              <w:t>Processo SEI nº 0005109-71.2025.4.06-8000</w:t>
            </w:r>
            <w:r>
              <w:rPr>
                <w:rFonts w:ascii="Times New Roman" w:eastAsia="Times New Roman" w:hAnsi="Times New Roman" w:cs="Times New Roman"/>
                <w:sz w:val="20"/>
                <w:szCs w:val="20"/>
                <w:lang w:eastAsia="pt-BR"/>
              </w:rPr>
              <w:t>”.</w:t>
            </w:r>
          </w:p>
        </w:tc>
      </w:tr>
      <w:tr w:rsidR="00D16D95" w:rsidRPr="00677E67" w14:paraId="098EA18C"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241C257" w14:textId="55D4F568" w:rsidR="00D16D95" w:rsidRPr="00677E67" w:rsidRDefault="00D16D95" w:rsidP="00D16D95">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0224BB8D" w14:textId="589B5CEC" w:rsidR="00923F9F" w:rsidRDefault="00F8499D" w:rsidP="00D16D95">
            <w:pPr>
              <w:ind w:firstLine="0"/>
              <w:jc w:val="both"/>
              <w:rPr>
                <w:rFonts w:ascii="Times New Roman" w:eastAsia="Times New Roman" w:hAnsi="Times New Roman" w:cs="Times New Roman"/>
                <w:sz w:val="20"/>
                <w:szCs w:val="20"/>
                <w:lang w:eastAsia="pt-BR"/>
              </w:rPr>
            </w:pPr>
            <w:r w:rsidRPr="00F8499D">
              <w:rPr>
                <w:rFonts w:ascii="Times New Roman" w:eastAsia="Times New Roman" w:hAnsi="Times New Roman" w:cs="Times New Roman"/>
                <w:sz w:val="20"/>
                <w:szCs w:val="20"/>
                <w:lang w:eastAsia="pt-BR"/>
              </w:rPr>
              <w:t>Verific</w:t>
            </w:r>
            <w:r>
              <w:rPr>
                <w:rFonts w:ascii="Times New Roman" w:eastAsia="Times New Roman" w:hAnsi="Times New Roman" w:cs="Times New Roman"/>
                <w:sz w:val="20"/>
                <w:szCs w:val="20"/>
                <w:lang w:eastAsia="pt-BR"/>
              </w:rPr>
              <w:t>ou</w:t>
            </w:r>
            <w:r w:rsidRPr="00F8499D">
              <w:rPr>
                <w:rFonts w:ascii="Times New Roman" w:eastAsia="Times New Roman" w:hAnsi="Times New Roman" w:cs="Times New Roman"/>
                <w:sz w:val="20"/>
                <w:szCs w:val="20"/>
                <w:lang w:eastAsia="pt-BR"/>
              </w:rPr>
              <w:t>-se que a unidade elaborou o plano de ação (id.</w:t>
            </w:r>
            <w:r w:rsidRPr="00B7185F">
              <w:rPr>
                <w:rFonts w:ascii="Times New Roman" w:eastAsia="Times New Roman" w:hAnsi="Times New Roman" w:cs="Times New Roman"/>
                <w:sz w:val="20"/>
                <w:szCs w:val="20"/>
                <w:lang w:eastAsia="pt-BR"/>
              </w:rPr>
              <w:t>1169166</w:t>
            </w:r>
            <w:r w:rsidRPr="00F8499D">
              <w:rPr>
                <w:rFonts w:ascii="Times New Roman" w:eastAsia="Times New Roman" w:hAnsi="Times New Roman" w:cs="Times New Roman"/>
                <w:sz w:val="20"/>
                <w:szCs w:val="20"/>
                <w:lang w:eastAsia="pt-BR"/>
              </w:rPr>
              <w:t>)</w:t>
            </w:r>
            <w:r w:rsidR="00B7185F">
              <w:rPr>
                <w:rFonts w:ascii="Times New Roman" w:eastAsia="Times New Roman" w:hAnsi="Times New Roman" w:cs="Times New Roman"/>
                <w:sz w:val="20"/>
                <w:szCs w:val="20"/>
                <w:lang w:eastAsia="pt-BR"/>
              </w:rPr>
              <w:t xml:space="preserve"> </w:t>
            </w:r>
            <w:r w:rsidRPr="00F8499D">
              <w:rPr>
                <w:rFonts w:ascii="Times New Roman" w:eastAsia="Times New Roman" w:hAnsi="Times New Roman" w:cs="Times New Roman"/>
                <w:sz w:val="20"/>
                <w:szCs w:val="20"/>
                <w:lang w:eastAsia="pt-BR"/>
              </w:rPr>
              <w:t>solicitado, atendendo formalmente à recomendação expedida. Entretanto, até 31/01/2026, ainda não houve a efetiva reavaliação dos imóveis, permanecendo em andamento as providências necessárias para sua realização</w:t>
            </w:r>
            <w:r w:rsidR="00923F9F">
              <w:rPr>
                <w:rFonts w:ascii="Times New Roman" w:eastAsia="Times New Roman" w:hAnsi="Times New Roman" w:cs="Times New Roman"/>
                <w:sz w:val="20"/>
                <w:szCs w:val="20"/>
                <w:lang w:eastAsia="pt-BR"/>
              </w:rPr>
              <w:t xml:space="preserve">. </w:t>
            </w:r>
          </w:p>
          <w:p w14:paraId="31A88B06" w14:textId="0DE302A1" w:rsidR="00923F9F" w:rsidRDefault="00923F9F" w:rsidP="00D16D95">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No curso dos trabalhos, observou-se que a unidade vem envidando esforços para viabilizar a reavaliação dos imóveis, destacando-se a realização de tratativas junto à SPU, por meio do </w:t>
            </w:r>
            <w:r w:rsidR="00F8499D" w:rsidRPr="00F8499D">
              <w:rPr>
                <w:rFonts w:ascii="Times New Roman" w:eastAsia="Times New Roman" w:hAnsi="Times New Roman" w:cs="Times New Roman"/>
                <w:sz w:val="20"/>
                <w:szCs w:val="20"/>
                <w:lang w:eastAsia="pt-BR"/>
              </w:rPr>
              <w:t>Ofício TRF6-DIGER 46 (id.</w:t>
            </w:r>
            <w:r w:rsidR="00B7185F">
              <w:rPr>
                <w:rFonts w:ascii="Times New Roman" w:eastAsia="Times New Roman" w:hAnsi="Times New Roman" w:cs="Times New Roman"/>
                <w:sz w:val="20"/>
                <w:szCs w:val="20"/>
                <w:lang w:eastAsia="pt-BR"/>
              </w:rPr>
              <w:t xml:space="preserve"> </w:t>
            </w:r>
            <w:r w:rsidR="00F8499D" w:rsidRPr="00B7185F">
              <w:rPr>
                <w:rFonts w:ascii="Times New Roman" w:eastAsia="Times New Roman" w:hAnsi="Times New Roman" w:cs="Times New Roman"/>
                <w:sz w:val="20"/>
                <w:szCs w:val="20"/>
                <w:lang w:eastAsia="pt-BR"/>
              </w:rPr>
              <w:t>1223364</w:t>
            </w:r>
            <w:r w:rsidR="00F8499D" w:rsidRPr="00F8499D">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de 13/05/2025, e do </w:t>
            </w:r>
            <w:r w:rsidR="00F8499D" w:rsidRPr="00F8499D">
              <w:rPr>
                <w:rFonts w:ascii="Times New Roman" w:eastAsia="Times New Roman" w:hAnsi="Times New Roman" w:cs="Times New Roman"/>
                <w:sz w:val="20"/>
                <w:szCs w:val="20"/>
                <w:lang w:eastAsia="pt-BR"/>
              </w:rPr>
              <w:t>Ofício DIGER 94 (id.</w:t>
            </w:r>
            <w:r w:rsidR="00F8499D" w:rsidRPr="00B7185F">
              <w:rPr>
                <w:rFonts w:ascii="Times New Roman" w:eastAsia="Times New Roman" w:hAnsi="Times New Roman" w:cs="Times New Roman"/>
                <w:sz w:val="20"/>
                <w:szCs w:val="20"/>
                <w:lang w:eastAsia="pt-BR"/>
              </w:rPr>
              <w:t>1476818</w:t>
            </w:r>
            <w:r w:rsidR="00F8499D" w:rsidRPr="00F8499D">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de 23/10/2025, este último</w:t>
            </w:r>
            <w:r w:rsidR="00F8499D" w:rsidRPr="00F8499D">
              <w:rPr>
                <w:rFonts w:ascii="Times New Roman" w:eastAsia="Times New Roman" w:hAnsi="Times New Roman" w:cs="Times New Roman"/>
                <w:sz w:val="20"/>
                <w:szCs w:val="20"/>
                <w:lang w:eastAsia="pt-BR"/>
              </w:rPr>
              <w:t xml:space="preserve"> reiterando </w:t>
            </w:r>
            <w:r>
              <w:rPr>
                <w:rFonts w:ascii="Times New Roman" w:eastAsia="Times New Roman" w:hAnsi="Times New Roman" w:cs="Times New Roman"/>
                <w:sz w:val="20"/>
                <w:szCs w:val="20"/>
                <w:lang w:eastAsia="pt-BR"/>
              </w:rPr>
              <w:t xml:space="preserve">a solicitação de apoio. </w:t>
            </w:r>
            <w:r w:rsidRPr="00923F9F">
              <w:rPr>
                <w:rFonts w:ascii="Times New Roman" w:eastAsia="Times New Roman" w:hAnsi="Times New Roman" w:cs="Times New Roman"/>
                <w:sz w:val="20"/>
                <w:szCs w:val="20"/>
                <w:lang w:eastAsia="pt-BR"/>
              </w:rPr>
              <w:t>Ademais, foram relatadas dificuldades operacionais para atendimento da demanda, conforme Manifestação SUMES (id. 1483893).</w:t>
            </w:r>
          </w:p>
          <w:p w14:paraId="6172BF3B" w14:textId="77777777" w:rsidR="00923F9F" w:rsidRPr="00923F9F" w:rsidRDefault="00923F9F" w:rsidP="00923F9F">
            <w:pPr>
              <w:ind w:firstLine="0"/>
              <w:jc w:val="both"/>
              <w:rPr>
                <w:rFonts w:ascii="Times New Roman" w:eastAsia="Times New Roman" w:hAnsi="Times New Roman" w:cs="Times New Roman"/>
                <w:sz w:val="20"/>
                <w:szCs w:val="20"/>
                <w:lang w:eastAsia="pt-BR"/>
              </w:rPr>
            </w:pPr>
            <w:r w:rsidRPr="00923F9F">
              <w:rPr>
                <w:rFonts w:ascii="Times New Roman" w:eastAsia="Times New Roman" w:hAnsi="Times New Roman" w:cs="Times New Roman"/>
                <w:sz w:val="20"/>
                <w:szCs w:val="20"/>
                <w:lang w:eastAsia="pt-BR"/>
              </w:rPr>
              <w:t>Adicionalmente, conforme informações mais recentes apresentadas pela unidade, foram iniciadas providências administrativas voltadas à contratação de profissional ou empresa especializada, bem como retomadas tratativas com a SPU para definição da estratégia mais adequada à realização das reavaliações.</w:t>
            </w:r>
          </w:p>
          <w:p w14:paraId="1FC95355" w14:textId="73A87A5F" w:rsidR="005F22C2" w:rsidRPr="00F8499D" w:rsidRDefault="00923F9F" w:rsidP="00D16D95">
            <w:pPr>
              <w:ind w:firstLine="0"/>
              <w:jc w:val="both"/>
              <w:rPr>
                <w:rFonts w:ascii="Times New Roman" w:eastAsia="Times New Roman" w:hAnsi="Times New Roman" w:cs="Times New Roman"/>
                <w:sz w:val="20"/>
                <w:szCs w:val="20"/>
                <w:lang w:eastAsia="pt-BR"/>
              </w:rPr>
            </w:pPr>
            <w:r w:rsidRPr="00923F9F">
              <w:rPr>
                <w:rFonts w:ascii="Times New Roman" w:eastAsia="Times New Roman" w:hAnsi="Times New Roman" w:cs="Times New Roman"/>
                <w:sz w:val="20"/>
                <w:szCs w:val="20"/>
                <w:lang w:eastAsia="pt-BR"/>
              </w:rPr>
              <w:t>Diante disso, conclui-se que a recomenda</w:t>
            </w:r>
            <w:r w:rsidR="00C42D65">
              <w:rPr>
                <w:rFonts w:ascii="Times New Roman" w:eastAsia="Times New Roman" w:hAnsi="Times New Roman" w:cs="Times New Roman"/>
                <w:sz w:val="20"/>
                <w:szCs w:val="20"/>
                <w:lang w:eastAsia="pt-BR"/>
              </w:rPr>
              <w:t>ção</w:t>
            </w:r>
            <w:r w:rsidRPr="00923F9F">
              <w:rPr>
                <w:rFonts w:ascii="Times New Roman" w:eastAsia="Times New Roman" w:hAnsi="Times New Roman" w:cs="Times New Roman"/>
                <w:sz w:val="20"/>
                <w:szCs w:val="20"/>
                <w:lang w:eastAsia="pt-BR"/>
              </w:rPr>
              <w:t xml:space="preserve"> se encontra </w:t>
            </w:r>
            <w:r w:rsidR="00E82157">
              <w:rPr>
                <w:rFonts w:ascii="Times New Roman" w:eastAsia="Times New Roman" w:hAnsi="Times New Roman" w:cs="Times New Roman"/>
                <w:sz w:val="20"/>
                <w:szCs w:val="20"/>
                <w:lang w:eastAsia="pt-BR"/>
              </w:rPr>
              <w:t>“</w:t>
            </w:r>
            <w:r w:rsidR="006551A8">
              <w:rPr>
                <w:rFonts w:ascii="Times New Roman" w:eastAsia="Times New Roman" w:hAnsi="Times New Roman" w:cs="Times New Roman"/>
                <w:sz w:val="20"/>
                <w:szCs w:val="20"/>
                <w:lang w:eastAsia="pt-BR"/>
              </w:rPr>
              <w:t>E</w:t>
            </w:r>
            <w:r w:rsidRPr="00923F9F">
              <w:rPr>
                <w:rFonts w:ascii="Times New Roman" w:eastAsia="Times New Roman" w:hAnsi="Times New Roman" w:cs="Times New Roman"/>
                <w:sz w:val="20"/>
                <w:szCs w:val="20"/>
                <w:lang w:eastAsia="pt-BR"/>
              </w:rPr>
              <w:t>m implementação</w:t>
            </w:r>
            <w:r w:rsidR="00E82157">
              <w:rPr>
                <w:rFonts w:ascii="Times New Roman" w:eastAsia="Times New Roman" w:hAnsi="Times New Roman" w:cs="Times New Roman"/>
                <w:sz w:val="20"/>
                <w:szCs w:val="20"/>
                <w:lang w:eastAsia="pt-BR"/>
              </w:rPr>
              <w:t>”</w:t>
            </w:r>
            <w:r w:rsidRPr="00923F9F">
              <w:rPr>
                <w:rFonts w:ascii="Times New Roman" w:eastAsia="Times New Roman" w:hAnsi="Times New Roman" w:cs="Times New Roman"/>
                <w:sz w:val="20"/>
                <w:szCs w:val="20"/>
                <w:lang w:eastAsia="pt-BR"/>
              </w:rPr>
              <w:t xml:space="preserve">, considerando que, embora não tenha sido efetivamente cumprida até o momento, a </w:t>
            </w:r>
            <w:r w:rsidRPr="00923F9F">
              <w:rPr>
                <w:rFonts w:ascii="Times New Roman" w:eastAsia="Times New Roman" w:hAnsi="Times New Roman" w:cs="Times New Roman"/>
                <w:sz w:val="20"/>
                <w:szCs w:val="20"/>
                <w:lang w:eastAsia="pt-BR"/>
              </w:rPr>
              <w:lastRenderedPageBreak/>
              <w:t>unidade adotou medidas e iniciativas com vistas ao seu atendimento</w:t>
            </w:r>
            <w:r>
              <w:rPr>
                <w:rFonts w:ascii="Times New Roman" w:eastAsia="Times New Roman" w:hAnsi="Times New Roman" w:cs="Times New Roman"/>
                <w:sz w:val="20"/>
                <w:szCs w:val="20"/>
                <w:lang w:eastAsia="pt-BR"/>
              </w:rPr>
              <w:t>.</w:t>
            </w:r>
            <w:r w:rsidR="00BF6237">
              <w:rPr>
                <w:rFonts w:ascii="Times New Roman" w:eastAsia="Times New Roman" w:hAnsi="Times New Roman" w:cs="Times New Roman"/>
                <w:sz w:val="20"/>
                <w:szCs w:val="20"/>
                <w:lang w:eastAsia="pt-BR"/>
              </w:rPr>
              <w:t xml:space="preserve"> A equipe de auditoria realizará novo monitoramento na auditoria de contas 2026.</w:t>
            </w:r>
          </w:p>
        </w:tc>
      </w:tr>
      <w:tr w:rsidR="00D16D95" w:rsidRPr="00677E67" w14:paraId="2EF730A9"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9B938EC" w14:textId="332B7D3C" w:rsidR="00D16D95" w:rsidRPr="00677E67" w:rsidRDefault="00D16D95" w:rsidP="00D16D95">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lastRenderedPageBreak/>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01C99F76" w14:textId="37412145" w:rsidR="00D16D95" w:rsidRPr="003C26FA" w:rsidRDefault="00F8499D" w:rsidP="00D16D95">
            <w:pPr>
              <w:ind w:firstLine="0"/>
              <w:jc w:val="both"/>
              <w:rPr>
                <w:rFonts w:ascii="Times New Roman" w:eastAsia="Times New Roman" w:hAnsi="Times New Roman" w:cs="Times New Roman"/>
                <w:sz w:val="20"/>
                <w:szCs w:val="20"/>
                <w:lang w:eastAsia="pt-BR"/>
              </w:rPr>
            </w:pPr>
            <w:r w:rsidRPr="003C26FA">
              <w:rPr>
                <w:rFonts w:ascii="Times New Roman" w:eastAsia="Times New Roman" w:hAnsi="Times New Roman" w:cs="Times New Roman"/>
                <w:sz w:val="20"/>
                <w:szCs w:val="20"/>
                <w:lang w:eastAsia="pt-BR"/>
              </w:rPr>
              <w:t>Em implementação</w:t>
            </w:r>
          </w:p>
        </w:tc>
      </w:tr>
      <w:tr w:rsidR="00790C72" w:rsidRPr="00677E67" w14:paraId="42FE9503" w14:textId="77777777" w:rsidTr="001F6222">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F336889" w14:textId="6B8CDA8E" w:rsidR="00790C72" w:rsidRPr="00677E67" w:rsidRDefault="00790C72" w:rsidP="00790C72">
            <w:pPr>
              <w:ind w:firstLine="0"/>
              <w:jc w:val="both"/>
              <w:rPr>
                <w:rFonts w:ascii="Times New Roman" w:hAnsi="Times New Roman" w:cs="Times New Roman"/>
                <w:b/>
                <w:color w:val="000000"/>
                <w:sz w:val="20"/>
                <w:szCs w:val="20"/>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2024</w:t>
            </w:r>
            <w:r w:rsidRPr="00677E67">
              <w:rPr>
                <w:rFonts w:ascii="Times New Roman" w:eastAsia="Times New Roman" w:hAnsi="Times New Roman" w:cs="Times New Roman"/>
                <w:b/>
                <w:bCs/>
                <w:sz w:val="20"/>
                <w:szCs w:val="20"/>
                <w:lang w:eastAsia="pt-BR"/>
              </w:rPr>
              <w:t xml:space="preserve"> (id.</w:t>
            </w:r>
            <w:r w:rsidRPr="00552F7D">
              <w:t xml:space="preserve"> </w:t>
            </w:r>
            <w:r w:rsidRPr="00B7185F">
              <w:rPr>
                <w:rFonts w:ascii="Times New Roman" w:eastAsia="Times New Roman" w:hAnsi="Times New Roman" w:cs="Times New Roman"/>
                <w:sz w:val="20"/>
                <w:szCs w:val="20"/>
                <w:lang w:eastAsia="pt-BR"/>
              </w:rPr>
              <w:t>1174391</w:t>
            </w:r>
            <w:r w:rsidRPr="00677E67">
              <w:rPr>
                <w:rFonts w:ascii="Times New Roman" w:eastAsia="Times New Roman" w:hAnsi="Times New Roman" w:cs="Times New Roman"/>
                <w:b/>
                <w:bCs/>
                <w:sz w:val="20"/>
                <w:szCs w:val="20"/>
                <w:lang w:eastAsia="pt-BR"/>
              </w:rPr>
              <w:t>)</w:t>
            </w:r>
          </w:p>
          <w:p w14:paraId="7084DAA7" w14:textId="34E43785" w:rsidR="00790C72" w:rsidRPr="00790C72" w:rsidRDefault="00790C72" w:rsidP="00790C72">
            <w:pPr>
              <w:ind w:firstLine="0"/>
              <w:jc w:val="both"/>
              <w:rPr>
                <w:rFonts w:ascii="Times New Roman" w:eastAsia="Times New Roman" w:hAnsi="Times New Roman" w:cs="Times New Roman"/>
                <w:b/>
                <w:bCs/>
                <w:sz w:val="20"/>
                <w:szCs w:val="20"/>
                <w:lang w:eastAsia="pt-BR"/>
              </w:rPr>
            </w:pPr>
            <w:r w:rsidRPr="00790C72">
              <w:rPr>
                <w:rFonts w:ascii="Times New Roman" w:eastAsia="Times New Roman" w:hAnsi="Times New Roman" w:cs="Times New Roman"/>
                <w:b/>
                <w:bCs/>
                <w:sz w:val="20"/>
                <w:szCs w:val="20"/>
                <w:lang w:eastAsia="pt-BR"/>
              </w:rPr>
              <w:t xml:space="preserve">4.2. Imóveis de terceiros em posse da Justiça Federal da 6ª Região sem o devido registro no SIAFI e no </w:t>
            </w:r>
            <w:proofErr w:type="spellStart"/>
            <w:r w:rsidRPr="00790C72">
              <w:rPr>
                <w:rFonts w:ascii="Times New Roman" w:eastAsia="Times New Roman" w:hAnsi="Times New Roman" w:cs="Times New Roman"/>
                <w:b/>
                <w:bCs/>
                <w:sz w:val="20"/>
                <w:szCs w:val="20"/>
                <w:lang w:eastAsia="pt-BR"/>
              </w:rPr>
              <w:t>SPIUnet</w:t>
            </w:r>
            <w:proofErr w:type="spellEnd"/>
          </w:p>
          <w:p w14:paraId="3B2985CB" w14:textId="12D4493B" w:rsidR="00790C72" w:rsidRPr="00677E67" w:rsidRDefault="00790C72" w:rsidP="00D16D95">
            <w:pPr>
              <w:ind w:firstLine="0"/>
              <w:jc w:val="both"/>
              <w:rPr>
                <w:rFonts w:ascii="Times New Roman" w:eastAsia="Times New Roman" w:hAnsi="Times New Roman" w:cs="Times New Roman"/>
                <w:b/>
                <w:bCs/>
                <w:sz w:val="20"/>
                <w:szCs w:val="20"/>
                <w:lang w:eastAsia="pt-BR"/>
              </w:rPr>
            </w:pPr>
            <w:r w:rsidRPr="00790C72">
              <w:rPr>
                <w:rFonts w:ascii="Times New Roman" w:eastAsia="Times New Roman" w:hAnsi="Times New Roman" w:cs="Times New Roman"/>
                <w:b/>
                <w:bCs/>
                <w:sz w:val="20"/>
                <w:szCs w:val="20"/>
                <w:lang w:eastAsia="pt-BR"/>
              </w:rPr>
              <w:t xml:space="preserve">4.2.1. Imóveis de terceiros que abrigam as </w:t>
            </w:r>
            <w:proofErr w:type="spellStart"/>
            <w:r w:rsidRPr="00790C72">
              <w:rPr>
                <w:rFonts w:ascii="Times New Roman" w:eastAsia="Times New Roman" w:hAnsi="Times New Roman" w:cs="Times New Roman"/>
                <w:b/>
                <w:bCs/>
                <w:sz w:val="20"/>
                <w:szCs w:val="20"/>
                <w:lang w:eastAsia="pt-BR"/>
              </w:rPr>
              <w:t>UAAs</w:t>
            </w:r>
            <w:proofErr w:type="spellEnd"/>
            <w:r w:rsidRPr="00790C72">
              <w:rPr>
                <w:rFonts w:ascii="Times New Roman" w:eastAsia="Times New Roman" w:hAnsi="Times New Roman" w:cs="Times New Roman"/>
                <w:b/>
                <w:bCs/>
                <w:sz w:val="20"/>
                <w:szCs w:val="20"/>
                <w:lang w:eastAsia="pt-BR"/>
              </w:rPr>
              <w:t xml:space="preserve"> da Justiça Federal da 6ª Região</w:t>
            </w:r>
          </w:p>
        </w:tc>
      </w:tr>
      <w:tr w:rsidR="00E258D8" w:rsidRPr="00677E67" w14:paraId="593408FC"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2AC845" w14:textId="5B268CF4" w:rsidR="00E258D8" w:rsidRPr="00677E67" w:rsidRDefault="00790C72" w:rsidP="00D16D95">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02DCE2D1" w14:textId="77777777" w:rsidR="00E258D8" w:rsidRPr="00790C72" w:rsidRDefault="00790C72" w:rsidP="00790C72">
            <w:pPr>
              <w:pStyle w:val="PargrafodaLista"/>
              <w:numPr>
                <w:ilvl w:val="0"/>
                <w:numId w:val="25"/>
              </w:numPr>
              <w:tabs>
                <w:tab w:val="left" w:pos="490"/>
              </w:tabs>
              <w:ind w:left="65" w:firstLine="0"/>
              <w:jc w:val="both"/>
              <w:rPr>
                <w:rFonts w:ascii="Times New Roman" w:hAnsi="Times New Roman" w:cs="Times New Roman"/>
                <w:color w:val="000000"/>
                <w:sz w:val="20"/>
                <w:szCs w:val="20"/>
              </w:rPr>
            </w:pPr>
            <w:r w:rsidRPr="00790C72">
              <w:rPr>
                <w:rFonts w:ascii="Times New Roman" w:hAnsi="Times New Roman" w:cs="Times New Roman"/>
                <w:color w:val="000000"/>
                <w:sz w:val="20"/>
                <w:szCs w:val="20"/>
              </w:rPr>
              <w:t xml:space="preserve">Recomenda-se à SEMAP/SECAM o levantamento e a consolidação das informações relativas aos imóveis que abrigam as </w:t>
            </w:r>
            <w:proofErr w:type="spellStart"/>
            <w:r w:rsidRPr="00790C72">
              <w:rPr>
                <w:rFonts w:ascii="Times New Roman" w:hAnsi="Times New Roman" w:cs="Times New Roman"/>
                <w:color w:val="000000"/>
                <w:sz w:val="20"/>
                <w:szCs w:val="20"/>
              </w:rPr>
              <w:t>UAAs</w:t>
            </w:r>
            <w:proofErr w:type="spellEnd"/>
            <w:r w:rsidRPr="00790C72">
              <w:rPr>
                <w:rFonts w:ascii="Times New Roman" w:hAnsi="Times New Roman" w:cs="Times New Roman"/>
                <w:color w:val="000000"/>
                <w:sz w:val="20"/>
                <w:szCs w:val="20"/>
              </w:rPr>
              <w:t xml:space="preserve"> da Justiça Federal da 6ª Região, obtendo-se os dados junto às Subseções Judiciárias e promovendo-se o devido registro no </w:t>
            </w:r>
            <w:proofErr w:type="spellStart"/>
            <w:r w:rsidRPr="00790C72">
              <w:rPr>
                <w:rFonts w:ascii="Times New Roman" w:hAnsi="Times New Roman" w:cs="Times New Roman"/>
                <w:color w:val="000000"/>
                <w:sz w:val="20"/>
                <w:szCs w:val="20"/>
              </w:rPr>
              <w:t>SPIUnet</w:t>
            </w:r>
            <w:proofErr w:type="spellEnd"/>
            <w:r w:rsidRPr="00790C72">
              <w:rPr>
                <w:rFonts w:ascii="Times New Roman" w:hAnsi="Times New Roman" w:cs="Times New Roman"/>
                <w:color w:val="000000"/>
                <w:sz w:val="20"/>
                <w:szCs w:val="20"/>
              </w:rPr>
              <w:t xml:space="preserve"> e no SIAFI, em conformidade com </w:t>
            </w:r>
            <w:proofErr w:type="spellStart"/>
            <w:r>
              <w:fldChar w:fldCharType="begin"/>
            </w:r>
            <w:r>
              <w:instrText>HYPERLINK "https://sisweb.tesouro.gov.br/apex/cosis/manuais/siafi/020344" \t "_blank"</w:instrText>
            </w:r>
            <w:r>
              <w:fldChar w:fldCharType="separate"/>
            </w:r>
            <w:r w:rsidRPr="00790C72">
              <w:rPr>
                <w:rFonts w:ascii="Times New Roman" w:hAnsi="Times New Roman" w:cs="Times New Roman"/>
                <w:color w:val="000000"/>
                <w:sz w:val="20"/>
                <w:szCs w:val="20"/>
              </w:rPr>
              <w:t>Macrofunção</w:t>
            </w:r>
            <w:proofErr w:type="spellEnd"/>
            <w:r w:rsidRPr="00790C72">
              <w:rPr>
                <w:rFonts w:ascii="Times New Roman" w:hAnsi="Times New Roman" w:cs="Times New Roman"/>
                <w:color w:val="000000"/>
                <w:sz w:val="20"/>
                <w:szCs w:val="20"/>
              </w:rPr>
              <w:t xml:space="preserve"> SIAFI 02.03.44 – Bens Imóveis</w:t>
            </w:r>
            <w:r>
              <w:fldChar w:fldCharType="end"/>
            </w:r>
            <w:r w:rsidRPr="00790C72">
              <w:rPr>
                <w:rFonts w:ascii="Times New Roman" w:hAnsi="Times New Roman" w:cs="Times New Roman"/>
                <w:color w:val="000000"/>
                <w:sz w:val="20"/>
                <w:szCs w:val="20"/>
              </w:rPr>
              <w:t>.</w:t>
            </w:r>
          </w:p>
          <w:p w14:paraId="6351EE68" w14:textId="6C24F42C" w:rsidR="00790C72" w:rsidRPr="00677E67" w:rsidRDefault="00790C72" w:rsidP="00790C72">
            <w:pPr>
              <w:pStyle w:val="PargrafodaLista"/>
              <w:numPr>
                <w:ilvl w:val="0"/>
                <w:numId w:val="25"/>
              </w:numPr>
              <w:tabs>
                <w:tab w:val="left" w:pos="490"/>
              </w:tabs>
              <w:ind w:left="65" w:firstLine="0"/>
              <w:jc w:val="both"/>
              <w:rPr>
                <w:rFonts w:ascii="Times New Roman" w:eastAsia="Times New Roman" w:hAnsi="Times New Roman" w:cs="Times New Roman"/>
                <w:b/>
                <w:bCs/>
                <w:sz w:val="20"/>
                <w:szCs w:val="20"/>
                <w:lang w:eastAsia="pt-BR"/>
              </w:rPr>
            </w:pPr>
            <w:r w:rsidRPr="00790C72">
              <w:rPr>
                <w:rFonts w:ascii="Times New Roman" w:hAnsi="Times New Roman" w:cs="Times New Roman"/>
                <w:color w:val="000000"/>
                <w:sz w:val="20"/>
                <w:szCs w:val="20"/>
              </w:rPr>
              <w:t xml:space="preserve">Recomenda-se à SEMAP/SECAM implementar mecanismos de controle interno para monitorar continuamente a instalação de novas </w:t>
            </w:r>
            <w:proofErr w:type="spellStart"/>
            <w:r w:rsidRPr="00790C72">
              <w:rPr>
                <w:rFonts w:ascii="Times New Roman" w:hAnsi="Times New Roman" w:cs="Times New Roman"/>
                <w:color w:val="000000"/>
                <w:sz w:val="20"/>
                <w:szCs w:val="20"/>
              </w:rPr>
              <w:t>UAAs</w:t>
            </w:r>
            <w:proofErr w:type="spellEnd"/>
            <w:r w:rsidRPr="00790C72">
              <w:rPr>
                <w:rFonts w:ascii="Times New Roman" w:hAnsi="Times New Roman" w:cs="Times New Roman"/>
                <w:color w:val="000000"/>
                <w:sz w:val="20"/>
                <w:szCs w:val="20"/>
              </w:rPr>
              <w:t xml:space="preserve"> e os registros contábeis dos imóveis, garantindo-se que novas </w:t>
            </w:r>
            <w:proofErr w:type="spellStart"/>
            <w:r w:rsidRPr="00790C72">
              <w:rPr>
                <w:rFonts w:ascii="Times New Roman" w:hAnsi="Times New Roman" w:cs="Times New Roman"/>
                <w:color w:val="000000"/>
                <w:sz w:val="20"/>
                <w:szCs w:val="20"/>
              </w:rPr>
              <w:t>UAAs</w:t>
            </w:r>
            <w:proofErr w:type="spellEnd"/>
            <w:r w:rsidRPr="00790C72">
              <w:rPr>
                <w:rFonts w:ascii="Times New Roman" w:hAnsi="Times New Roman" w:cs="Times New Roman"/>
                <w:color w:val="000000"/>
                <w:sz w:val="20"/>
                <w:szCs w:val="20"/>
              </w:rPr>
              <w:t xml:space="preserve"> sejam registradas tempestivamente no </w:t>
            </w:r>
            <w:proofErr w:type="spellStart"/>
            <w:r w:rsidRPr="00790C72">
              <w:rPr>
                <w:rFonts w:ascii="Times New Roman" w:hAnsi="Times New Roman" w:cs="Times New Roman"/>
                <w:color w:val="000000"/>
                <w:sz w:val="20"/>
                <w:szCs w:val="20"/>
              </w:rPr>
              <w:t>SPIUnet</w:t>
            </w:r>
            <w:proofErr w:type="spellEnd"/>
            <w:r w:rsidRPr="00790C72">
              <w:rPr>
                <w:rFonts w:ascii="Times New Roman" w:hAnsi="Times New Roman" w:cs="Times New Roman"/>
                <w:color w:val="000000"/>
                <w:sz w:val="20"/>
                <w:szCs w:val="20"/>
              </w:rPr>
              <w:t xml:space="preserve"> e no SIAFI, em conformidade com </w:t>
            </w:r>
            <w:proofErr w:type="spellStart"/>
            <w:r>
              <w:fldChar w:fldCharType="begin"/>
            </w:r>
            <w:r>
              <w:instrText>HYPERLINK "https://sisweb.tesouro.gov.br/apex/cosis/manuais/siafi/020344" \t "_blank"</w:instrText>
            </w:r>
            <w:r>
              <w:fldChar w:fldCharType="separate"/>
            </w:r>
            <w:r w:rsidRPr="00790C72">
              <w:rPr>
                <w:rFonts w:ascii="Times New Roman" w:hAnsi="Times New Roman" w:cs="Times New Roman"/>
                <w:color w:val="000000"/>
                <w:sz w:val="20"/>
                <w:szCs w:val="20"/>
              </w:rPr>
              <w:t>Macrofunção</w:t>
            </w:r>
            <w:proofErr w:type="spellEnd"/>
            <w:r w:rsidRPr="00790C72">
              <w:rPr>
                <w:rFonts w:ascii="Times New Roman" w:hAnsi="Times New Roman" w:cs="Times New Roman"/>
                <w:color w:val="000000"/>
                <w:sz w:val="20"/>
                <w:szCs w:val="20"/>
              </w:rPr>
              <w:t xml:space="preserve"> SIAFI 02.03.44 – Bens Imóveis</w:t>
            </w:r>
            <w:r>
              <w:fldChar w:fldCharType="end"/>
            </w:r>
            <w:r w:rsidRPr="00790C72">
              <w:rPr>
                <w:rFonts w:ascii="Times New Roman" w:hAnsi="Times New Roman" w:cs="Times New Roman"/>
                <w:color w:val="000000"/>
                <w:sz w:val="20"/>
                <w:szCs w:val="20"/>
              </w:rPr>
              <w:t>.</w:t>
            </w:r>
          </w:p>
        </w:tc>
      </w:tr>
      <w:tr w:rsidR="00E35DBA" w:rsidRPr="00677E67" w14:paraId="50E9BB16"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B5ED89E" w14:textId="0E1C8BC5" w:rsidR="00E35DBA" w:rsidRPr="00677E67" w:rsidRDefault="00E35DBA" w:rsidP="00E35DBA">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60A91078" w14:textId="5153EB08" w:rsidR="00E35DBA" w:rsidRPr="00677E67" w:rsidRDefault="00E35DBA" w:rsidP="00E35DBA">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E35DBA" w:rsidRPr="00677E67" w14:paraId="370E0899"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B9FB95E" w14:textId="60686092" w:rsidR="00E35DBA" w:rsidRPr="00677E67" w:rsidRDefault="006D1544" w:rsidP="00E35DBA">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6DADDAE0" w14:textId="77777777" w:rsidR="00695645" w:rsidRDefault="00695645" w:rsidP="00695645">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Relatório SEMAP (id. </w:t>
            </w:r>
            <w:r w:rsidRPr="00CA3098">
              <w:rPr>
                <w:rFonts w:ascii="Times New Roman" w:eastAsia="Times New Roman" w:hAnsi="Times New Roman" w:cs="Times New Roman"/>
                <w:sz w:val="20"/>
                <w:szCs w:val="20"/>
                <w:lang w:eastAsia="pt-BR"/>
              </w:rPr>
              <w:t>1668782</w:t>
            </w:r>
            <w:r>
              <w:rPr>
                <w:rFonts w:ascii="Times New Roman" w:eastAsia="Times New Roman" w:hAnsi="Times New Roman" w:cs="Times New Roman"/>
                <w:sz w:val="20"/>
                <w:szCs w:val="20"/>
                <w:lang w:eastAsia="pt-BR"/>
              </w:rPr>
              <w:t xml:space="preserve">): “(...) </w:t>
            </w:r>
            <w:r w:rsidRPr="00CA3098">
              <w:rPr>
                <w:rFonts w:ascii="Times New Roman" w:eastAsia="Times New Roman" w:hAnsi="Times New Roman" w:cs="Times New Roman"/>
                <w:sz w:val="20"/>
                <w:szCs w:val="20"/>
                <w:lang w:eastAsia="pt-BR"/>
              </w:rPr>
              <w:t>informamos que, no momento, a consulta direta ao sistema </w:t>
            </w:r>
            <w:proofErr w:type="spellStart"/>
            <w:r w:rsidRPr="00CA3098">
              <w:rPr>
                <w:rFonts w:ascii="Times New Roman" w:eastAsia="Times New Roman" w:hAnsi="Times New Roman" w:cs="Times New Roman"/>
                <w:sz w:val="20"/>
                <w:szCs w:val="20"/>
                <w:lang w:eastAsia="pt-BR"/>
              </w:rPr>
              <w:t>SPIUnet</w:t>
            </w:r>
            <w:proofErr w:type="spellEnd"/>
            <w:r w:rsidRPr="00CA3098">
              <w:rPr>
                <w:rFonts w:ascii="Times New Roman" w:eastAsia="Times New Roman" w:hAnsi="Times New Roman" w:cs="Times New Roman"/>
                <w:sz w:val="20"/>
                <w:szCs w:val="20"/>
                <w:lang w:eastAsia="pt-BR"/>
              </w:rPr>
              <w:t> encontra-se indisponível.</w:t>
            </w:r>
            <w:r>
              <w:rPr>
                <w:rFonts w:ascii="Times New Roman" w:eastAsia="Times New Roman" w:hAnsi="Times New Roman" w:cs="Times New Roman"/>
                <w:sz w:val="20"/>
                <w:szCs w:val="20"/>
                <w:lang w:eastAsia="pt-BR"/>
              </w:rPr>
              <w:t xml:space="preserve"> </w:t>
            </w:r>
            <w:r w:rsidRPr="00CA3098">
              <w:rPr>
                <w:rFonts w:ascii="Times New Roman" w:eastAsia="Times New Roman" w:hAnsi="Times New Roman" w:cs="Times New Roman"/>
                <w:sz w:val="20"/>
                <w:szCs w:val="20"/>
                <w:lang w:eastAsia="pt-BR"/>
              </w:rPr>
              <w:t xml:space="preserve">Esta limitação ocorre devido ao processo de migração e transição sistêmica conduzido pela Secretaria de Patrimônio da União (SPU), que está substituindo o antigo </w:t>
            </w:r>
            <w:proofErr w:type="spellStart"/>
            <w:r w:rsidRPr="00CA3098">
              <w:rPr>
                <w:rFonts w:ascii="Times New Roman" w:eastAsia="Times New Roman" w:hAnsi="Times New Roman" w:cs="Times New Roman"/>
                <w:sz w:val="20"/>
                <w:szCs w:val="20"/>
                <w:lang w:eastAsia="pt-BR"/>
              </w:rPr>
              <w:t>SPIUnet</w:t>
            </w:r>
            <w:proofErr w:type="spellEnd"/>
            <w:r w:rsidRPr="00CA3098">
              <w:rPr>
                <w:rFonts w:ascii="Times New Roman" w:eastAsia="Times New Roman" w:hAnsi="Times New Roman" w:cs="Times New Roman"/>
                <w:sz w:val="20"/>
                <w:szCs w:val="20"/>
                <w:lang w:eastAsia="pt-BR"/>
              </w:rPr>
              <w:t xml:space="preserve"> por uma nova plataforma de gestão patrimonial.</w:t>
            </w:r>
            <w:r>
              <w:rPr>
                <w:rFonts w:ascii="Times New Roman" w:eastAsia="Times New Roman" w:hAnsi="Times New Roman" w:cs="Times New Roman"/>
                <w:sz w:val="20"/>
                <w:szCs w:val="20"/>
                <w:lang w:eastAsia="pt-BR"/>
              </w:rPr>
              <w:t xml:space="preserve"> </w:t>
            </w:r>
            <w:r w:rsidRPr="00CA3098">
              <w:rPr>
                <w:rFonts w:ascii="Times New Roman" w:eastAsia="Times New Roman" w:hAnsi="Times New Roman" w:cs="Times New Roman"/>
                <w:sz w:val="20"/>
                <w:szCs w:val="20"/>
                <w:lang w:eastAsia="pt-BR"/>
              </w:rPr>
              <w:t>Durante este período de transição, os acessos para consulta e extração de relatórios foram suspensos ou restritos pelo órgão gestor para garantir a integridade da migração dos dados.</w:t>
            </w:r>
          </w:p>
          <w:p w14:paraId="41B2A89A" w14:textId="77777777" w:rsidR="00695645" w:rsidRPr="00CA3098" w:rsidRDefault="00695645" w:rsidP="00695645">
            <w:pPr>
              <w:ind w:firstLine="0"/>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b/>
                <w:bCs/>
                <w:sz w:val="20"/>
                <w:szCs w:val="20"/>
                <w:lang w:eastAsia="pt-BR"/>
              </w:rPr>
              <w:t>Medidas Adotadas:</w:t>
            </w:r>
          </w:p>
          <w:p w14:paraId="7DFB0511" w14:textId="77777777" w:rsidR="00695645" w:rsidRPr="00CA3098" w:rsidRDefault="00695645" w:rsidP="00695645">
            <w:pPr>
              <w:numPr>
                <w:ilvl w:val="0"/>
                <w:numId w:val="61"/>
              </w:numPr>
              <w:tabs>
                <w:tab w:val="clear" w:pos="720"/>
              </w:tabs>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Estamos monitorando a liberação das credenciais no novo sistema, prevista para 01/04/2026;</w:t>
            </w:r>
          </w:p>
          <w:p w14:paraId="21FE5750" w14:textId="77777777" w:rsidR="00695645" w:rsidRPr="00CA3098" w:rsidRDefault="00695645" w:rsidP="00695645">
            <w:pPr>
              <w:numPr>
                <w:ilvl w:val="0"/>
                <w:numId w:val="61"/>
              </w:numPr>
              <w:tabs>
                <w:tab w:val="clear" w:pos="720"/>
              </w:tabs>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Assim que o ambiente for estabilizado e o cadastro do bem estiver disponível na nova plataforma, os documentos serão analisados, com prioridade.</w:t>
            </w:r>
          </w:p>
          <w:p w14:paraId="35684E89" w14:textId="77777777" w:rsidR="00695645" w:rsidRDefault="00695645" w:rsidP="00695645">
            <w:pPr>
              <w:numPr>
                <w:ilvl w:val="0"/>
                <w:numId w:val="61"/>
              </w:numPr>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 xml:space="preserve">Prazo: A partir de </w:t>
            </w:r>
            <w:r>
              <w:rPr>
                <w:rFonts w:ascii="Times New Roman" w:eastAsia="Times New Roman" w:hAnsi="Times New Roman" w:cs="Times New Roman"/>
                <w:sz w:val="20"/>
                <w:szCs w:val="20"/>
                <w:lang w:eastAsia="pt-BR"/>
              </w:rPr>
              <w:t>a</w:t>
            </w:r>
            <w:r w:rsidRPr="00CA3098">
              <w:rPr>
                <w:rFonts w:ascii="Times New Roman" w:eastAsia="Times New Roman" w:hAnsi="Times New Roman" w:cs="Times New Roman"/>
                <w:sz w:val="20"/>
                <w:szCs w:val="20"/>
                <w:lang w:eastAsia="pt-BR"/>
              </w:rPr>
              <w:t>bril/2026</w:t>
            </w:r>
          </w:p>
          <w:p w14:paraId="7D99B9A1" w14:textId="77777777" w:rsidR="00695645" w:rsidRDefault="00695645" w:rsidP="00695645">
            <w:pPr>
              <w:ind w:firstLine="0"/>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Ressaltamos que tal indisponibilidade é de ordem externa e sistêmica, alheia ao controle desta seção</w:t>
            </w:r>
            <w:r>
              <w:rPr>
                <w:rFonts w:ascii="Times New Roman" w:eastAsia="Times New Roman" w:hAnsi="Times New Roman" w:cs="Times New Roman"/>
                <w:sz w:val="20"/>
                <w:szCs w:val="20"/>
                <w:lang w:eastAsia="pt-BR"/>
              </w:rPr>
              <w:t>.</w:t>
            </w:r>
          </w:p>
          <w:p w14:paraId="0D7349DB" w14:textId="77777777" w:rsidR="00695645" w:rsidRDefault="00695645" w:rsidP="00695645">
            <w:pPr>
              <w:ind w:firstLine="0"/>
              <w:jc w:val="both"/>
              <w:rPr>
                <w:rFonts w:ascii="Times New Roman" w:eastAsia="Times New Roman" w:hAnsi="Times New Roman" w:cs="Times New Roman"/>
                <w:b/>
                <w:bCs/>
                <w:sz w:val="20"/>
                <w:szCs w:val="20"/>
                <w:lang w:eastAsia="pt-BR"/>
              </w:rPr>
            </w:pPr>
            <w:r w:rsidRPr="00E10048">
              <w:rPr>
                <w:rFonts w:ascii="Times New Roman" w:eastAsia="Times New Roman" w:hAnsi="Times New Roman" w:cs="Times New Roman"/>
                <w:b/>
                <w:bCs/>
                <w:sz w:val="20"/>
                <w:szCs w:val="20"/>
                <w:lang w:eastAsia="pt-BR"/>
              </w:rPr>
              <w:t>Informações:</w:t>
            </w:r>
          </w:p>
          <w:p w14:paraId="1AE50D7C" w14:textId="7B3C9B61" w:rsidR="00695645" w:rsidRPr="00F7564F" w:rsidRDefault="0035580E" w:rsidP="0035580E">
            <w:pPr>
              <w:pStyle w:val="tabelatextojustificado"/>
              <w:numPr>
                <w:ilvl w:val="0"/>
                <w:numId w:val="62"/>
              </w:numPr>
              <w:spacing w:before="0" w:beforeAutospacing="0" w:after="0" w:afterAutospacing="0"/>
              <w:ind w:left="491" w:hanging="425"/>
              <w:jc w:val="both"/>
              <w:rPr>
                <w:color w:val="000000"/>
                <w:sz w:val="20"/>
                <w:szCs w:val="20"/>
              </w:rPr>
            </w:pPr>
            <w:hyperlink r:id="rId45" w:history="1">
              <w:r w:rsidRPr="00CC6E4F">
                <w:rPr>
                  <w:rStyle w:val="Hyperlink"/>
                  <w:i/>
                  <w:iCs/>
                  <w:sz w:val="20"/>
                  <w:szCs w:val="20"/>
                </w:rPr>
                <w:t>https://www.gov.br/gestao/pt-br/assuntos/patrimonio-da-uniao/transformacao-digital/desligamentosistemas2</w:t>
              </w:r>
            </w:hyperlink>
          </w:p>
          <w:p w14:paraId="604306FE" w14:textId="77777777" w:rsidR="00695645" w:rsidRPr="00F7564F" w:rsidRDefault="00695645" w:rsidP="0035580E">
            <w:pPr>
              <w:pStyle w:val="tabelatextojustificado"/>
              <w:numPr>
                <w:ilvl w:val="0"/>
                <w:numId w:val="62"/>
              </w:numPr>
              <w:spacing w:before="0" w:beforeAutospacing="0" w:after="0" w:afterAutospacing="0"/>
              <w:ind w:left="491" w:hanging="425"/>
              <w:jc w:val="both"/>
              <w:rPr>
                <w:color w:val="000000"/>
                <w:sz w:val="20"/>
                <w:szCs w:val="20"/>
              </w:rPr>
            </w:pPr>
            <w:r w:rsidRPr="00F7564F">
              <w:rPr>
                <w:color w:val="000000"/>
                <w:sz w:val="20"/>
                <w:szCs w:val="20"/>
              </w:rPr>
              <w:t>Informamos que o cadastramento dos imóveis próprios é de competência da Secretaria de Patrimônio da União (SPU). </w:t>
            </w:r>
          </w:p>
          <w:p w14:paraId="067019EA" w14:textId="1E4F48D4" w:rsidR="00695645" w:rsidRPr="00F7564F" w:rsidRDefault="00695645" w:rsidP="0035580E">
            <w:pPr>
              <w:pStyle w:val="tabelatextojustificado"/>
              <w:numPr>
                <w:ilvl w:val="0"/>
                <w:numId w:val="62"/>
              </w:numPr>
              <w:spacing w:before="0" w:beforeAutospacing="0" w:after="0" w:afterAutospacing="0"/>
              <w:ind w:left="491" w:hanging="425"/>
              <w:jc w:val="both"/>
              <w:rPr>
                <w:color w:val="000000"/>
                <w:sz w:val="20"/>
                <w:szCs w:val="20"/>
              </w:rPr>
            </w:pPr>
            <w:r w:rsidRPr="00F7564F">
              <w:rPr>
                <w:color w:val="000000"/>
                <w:sz w:val="20"/>
                <w:szCs w:val="20"/>
              </w:rPr>
              <w:t xml:space="preserve">No caso da SSJ de São João </w:t>
            </w:r>
            <w:proofErr w:type="spellStart"/>
            <w:r w:rsidRPr="00F7564F">
              <w:rPr>
                <w:color w:val="000000"/>
                <w:sz w:val="20"/>
                <w:szCs w:val="20"/>
              </w:rPr>
              <w:t>del</w:t>
            </w:r>
            <w:proofErr w:type="spellEnd"/>
            <w:r w:rsidRPr="00F7564F">
              <w:rPr>
                <w:color w:val="000000"/>
                <w:sz w:val="20"/>
                <w:szCs w:val="20"/>
              </w:rPr>
              <w:t xml:space="preserve"> Rei, há pendência relacionadas à documentação do imóvel.</w:t>
            </w:r>
          </w:p>
          <w:p w14:paraId="79972908" w14:textId="415A73D3" w:rsidR="00E35DBA" w:rsidRPr="00695645" w:rsidRDefault="00695645" w:rsidP="0035580E">
            <w:pPr>
              <w:pStyle w:val="tabelatextojustificado"/>
              <w:numPr>
                <w:ilvl w:val="0"/>
                <w:numId w:val="62"/>
              </w:numPr>
              <w:spacing w:before="0" w:beforeAutospacing="0" w:after="0" w:afterAutospacing="0"/>
              <w:ind w:left="491" w:hanging="425"/>
              <w:jc w:val="both"/>
              <w:rPr>
                <w:color w:val="000000"/>
                <w:sz w:val="20"/>
                <w:szCs w:val="20"/>
              </w:rPr>
            </w:pPr>
            <w:r w:rsidRPr="00F7564F">
              <w:rPr>
                <w:color w:val="000000"/>
                <w:sz w:val="20"/>
                <w:szCs w:val="20"/>
              </w:rPr>
              <w:t xml:space="preserve">Quanto aos registros das </w:t>
            </w:r>
            <w:proofErr w:type="spellStart"/>
            <w:r w:rsidRPr="00F7564F">
              <w:rPr>
                <w:color w:val="000000"/>
                <w:sz w:val="20"/>
                <w:szCs w:val="20"/>
              </w:rPr>
              <w:t>UAAs</w:t>
            </w:r>
            <w:proofErr w:type="spellEnd"/>
            <w:r w:rsidRPr="00F7564F">
              <w:rPr>
                <w:color w:val="000000"/>
                <w:sz w:val="20"/>
                <w:szCs w:val="20"/>
              </w:rPr>
              <w:t>, esta unidade realiza acompanhamento diário por meio da Intranet, na seção de Atos Administrativos, a fim de manter o controle e a atualização das informações</w:t>
            </w:r>
            <w:r>
              <w:rPr>
                <w:color w:val="000000"/>
                <w:sz w:val="20"/>
                <w:szCs w:val="20"/>
              </w:rPr>
              <w:t>”.</w:t>
            </w:r>
          </w:p>
        </w:tc>
      </w:tr>
      <w:tr w:rsidR="00E35DBA" w:rsidRPr="00677E67" w14:paraId="2374BD4C"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A8BA2C" w14:textId="7E55F7B1" w:rsidR="00E35DBA" w:rsidRPr="00677E67" w:rsidRDefault="006D1544" w:rsidP="00E35DBA">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5916F0A2" w14:textId="22308671" w:rsidR="006F1331" w:rsidRPr="0047405F" w:rsidRDefault="0047405F" w:rsidP="006F1331">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Não foram identificados registros das </w:t>
            </w:r>
            <w:proofErr w:type="spellStart"/>
            <w:r>
              <w:rPr>
                <w:rFonts w:ascii="Times New Roman" w:eastAsia="Times New Roman" w:hAnsi="Times New Roman" w:cs="Times New Roman"/>
                <w:sz w:val="20"/>
                <w:szCs w:val="20"/>
                <w:lang w:eastAsia="pt-BR"/>
              </w:rPr>
              <w:t>UAAs</w:t>
            </w:r>
            <w:proofErr w:type="spellEnd"/>
            <w:r>
              <w:rPr>
                <w:rFonts w:ascii="Times New Roman" w:eastAsia="Times New Roman" w:hAnsi="Times New Roman" w:cs="Times New Roman"/>
                <w:sz w:val="20"/>
                <w:szCs w:val="20"/>
                <w:lang w:eastAsia="pt-BR"/>
              </w:rPr>
              <w:t xml:space="preserve"> no SIAFI no ano de 2025. Contudo, e</w:t>
            </w:r>
            <w:r w:rsidRPr="0047405F">
              <w:rPr>
                <w:rFonts w:ascii="Times New Roman" w:eastAsia="Times New Roman" w:hAnsi="Times New Roman" w:cs="Times New Roman"/>
                <w:sz w:val="20"/>
                <w:szCs w:val="20"/>
                <w:lang w:eastAsia="pt-BR"/>
              </w:rPr>
              <w:t xml:space="preserve">m análise ao processo nº </w:t>
            </w:r>
            <w:r w:rsidRPr="00B7185F">
              <w:rPr>
                <w:rFonts w:ascii="Times New Roman" w:eastAsia="Times New Roman" w:hAnsi="Times New Roman" w:cs="Times New Roman"/>
                <w:sz w:val="20"/>
                <w:szCs w:val="20"/>
                <w:lang w:eastAsia="pt-BR"/>
              </w:rPr>
              <w:t>0002693-33.2025.4.06.8000</w:t>
            </w:r>
            <w:r w:rsidRPr="0047405F">
              <w:rPr>
                <w:rFonts w:ascii="Times New Roman" w:hAnsi="Times New Roman" w:cs="Times New Roman"/>
                <w:sz w:val="20"/>
                <w:szCs w:val="20"/>
              </w:rPr>
              <w:t>, v</w:t>
            </w:r>
            <w:r w:rsidR="006F1331" w:rsidRPr="0047405F">
              <w:rPr>
                <w:rFonts w:ascii="Times New Roman" w:eastAsia="Times New Roman" w:hAnsi="Times New Roman" w:cs="Times New Roman"/>
                <w:sz w:val="20"/>
                <w:szCs w:val="20"/>
                <w:lang w:eastAsia="pt-BR"/>
              </w:rPr>
              <w:t>erific</w:t>
            </w:r>
            <w:r w:rsidRPr="0047405F">
              <w:rPr>
                <w:rFonts w:ascii="Times New Roman" w:eastAsia="Times New Roman" w:hAnsi="Times New Roman" w:cs="Times New Roman"/>
                <w:sz w:val="20"/>
                <w:szCs w:val="20"/>
                <w:lang w:eastAsia="pt-BR"/>
              </w:rPr>
              <w:t>ou</w:t>
            </w:r>
            <w:r w:rsidR="006F1331" w:rsidRPr="0047405F">
              <w:rPr>
                <w:rFonts w:ascii="Times New Roman" w:eastAsia="Times New Roman" w:hAnsi="Times New Roman" w:cs="Times New Roman"/>
                <w:sz w:val="20"/>
                <w:szCs w:val="20"/>
                <w:lang w:eastAsia="pt-BR"/>
              </w:rPr>
              <w:t xml:space="preserve">-se que </w:t>
            </w:r>
            <w:r w:rsidRPr="0047405F">
              <w:rPr>
                <w:rFonts w:ascii="Times New Roman" w:eastAsia="Times New Roman" w:hAnsi="Times New Roman" w:cs="Times New Roman"/>
                <w:sz w:val="20"/>
                <w:szCs w:val="20"/>
                <w:lang w:eastAsia="pt-BR"/>
              </w:rPr>
              <w:t xml:space="preserve">estão sendo </w:t>
            </w:r>
            <w:r w:rsidR="006F1331" w:rsidRPr="0047405F">
              <w:rPr>
                <w:rFonts w:ascii="Times New Roman" w:eastAsia="Times New Roman" w:hAnsi="Times New Roman" w:cs="Times New Roman"/>
                <w:sz w:val="20"/>
                <w:szCs w:val="20"/>
                <w:lang w:eastAsia="pt-BR"/>
              </w:rPr>
              <w:t xml:space="preserve">adotadas providências para o levantamento das informações relativas </w:t>
            </w:r>
            <w:r>
              <w:rPr>
                <w:rFonts w:ascii="Times New Roman" w:eastAsia="Times New Roman" w:hAnsi="Times New Roman" w:cs="Times New Roman"/>
                <w:sz w:val="20"/>
                <w:szCs w:val="20"/>
                <w:lang w:eastAsia="pt-BR"/>
              </w:rPr>
              <w:t>a esses imóveis.</w:t>
            </w:r>
          </w:p>
          <w:p w14:paraId="5849CFB0" w14:textId="77777777" w:rsidR="0047405F" w:rsidRPr="0047405F" w:rsidRDefault="0047405F" w:rsidP="0047405F">
            <w:pPr>
              <w:ind w:firstLine="0"/>
              <w:jc w:val="both"/>
              <w:rPr>
                <w:rFonts w:ascii="Times New Roman" w:eastAsia="Times New Roman" w:hAnsi="Times New Roman" w:cs="Times New Roman"/>
                <w:sz w:val="20"/>
                <w:szCs w:val="20"/>
                <w:lang w:eastAsia="pt-BR"/>
              </w:rPr>
            </w:pPr>
            <w:r w:rsidRPr="0047405F">
              <w:rPr>
                <w:rFonts w:ascii="Times New Roman" w:eastAsia="Times New Roman" w:hAnsi="Times New Roman" w:cs="Times New Roman"/>
                <w:sz w:val="20"/>
                <w:szCs w:val="20"/>
                <w:lang w:eastAsia="pt-BR"/>
              </w:rPr>
              <w:t xml:space="preserve">Adicionalmente, conforme informações mais recentes apresentadas pela unidade, vem sendo realizado acompanhamento contínuo por meio da Intranet, na seção de Atos Administrativos, com vistas ao controle e à atualização das informações relativas às </w:t>
            </w:r>
            <w:proofErr w:type="spellStart"/>
            <w:r w:rsidRPr="0047405F">
              <w:rPr>
                <w:rFonts w:ascii="Times New Roman" w:eastAsia="Times New Roman" w:hAnsi="Times New Roman" w:cs="Times New Roman"/>
                <w:sz w:val="20"/>
                <w:szCs w:val="20"/>
                <w:lang w:eastAsia="pt-BR"/>
              </w:rPr>
              <w:t>UAAs</w:t>
            </w:r>
            <w:proofErr w:type="spellEnd"/>
            <w:r w:rsidRPr="0047405F">
              <w:rPr>
                <w:rFonts w:ascii="Times New Roman" w:eastAsia="Times New Roman" w:hAnsi="Times New Roman" w:cs="Times New Roman"/>
                <w:sz w:val="20"/>
                <w:szCs w:val="20"/>
                <w:lang w:eastAsia="pt-BR"/>
              </w:rPr>
              <w:t>.</w:t>
            </w:r>
          </w:p>
          <w:p w14:paraId="22B17EE9" w14:textId="2FABF91A" w:rsidR="0047405F" w:rsidRPr="0047405F" w:rsidRDefault="0047405F" w:rsidP="0047405F">
            <w:pPr>
              <w:ind w:firstLine="0"/>
              <w:jc w:val="both"/>
              <w:rPr>
                <w:rFonts w:ascii="Times New Roman" w:eastAsia="Times New Roman" w:hAnsi="Times New Roman" w:cs="Times New Roman"/>
                <w:sz w:val="20"/>
                <w:szCs w:val="20"/>
                <w:lang w:eastAsia="pt-BR"/>
              </w:rPr>
            </w:pPr>
            <w:r w:rsidRPr="0047405F">
              <w:rPr>
                <w:rFonts w:ascii="Times New Roman" w:eastAsia="Times New Roman" w:hAnsi="Times New Roman" w:cs="Times New Roman"/>
                <w:sz w:val="20"/>
                <w:szCs w:val="20"/>
                <w:lang w:eastAsia="pt-BR"/>
              </w:rPr>
              <w:t xml:space="preserve">Verificou-se, ainda, que a consulta ao </w:t>
            </w:r>
            <w:proofErr w:type="spellStart"/>
            <w:r w:rsidRPr="0047405F">
              <w:rPr>
                <w:rFonts w:ascii="Times New Roman" w:eastAsia="Times New Roman" w:hAnsi="Times New Roman" w:cs="Times New Roman"/>
                <w:sz w:val="20"/>
                <w:szCs w:val="20"/>
                <w:lang w:eastAsia="pt-BR"/>
              </w:rPr>
              <w:t>SPIUnet</w:t>
            </w:r>
            <w:proofErr w:type="spellEnd"/>
            <w:r w:rsidRPr="0047405F">
              <w:rPr>
                <w:rFonts w:ascii="Times New Roman" w:eastAsia="Times New Roman" w:hAnsi="Times New Roman" w:cs="Times New Roman"/>
                <w:sz w:val="20"/>
                <w:szCs w:val="20"/>
                <w:lang w:eastAsia="pt-BR"/>
              </w:rPr>
              <w:t xml:space="preserve"> </w:t>
            </w:r>
            <w:r w:rsidR="001E2B90">
              <w:rPr>
                <w:rFonts w:ascii="Times New Roman" w:eastAsia="Times New Roman" w:hAnsi="Times New Roman" w:cs="Times New Roman"/>
                <w:sz w:val="20"/>
                <w:szCs w:val="20"/>
                <w:lang w:eastAsia="pt-BR"/>
              </w:rPr>
              <w:t xml:space="preserve">se </w:t>
            </w:r>
            <w:r w:rsidRPr="0047405F">
              <w:rPr>
                <w:rFonts w:ascii="Times New Roman" w:eastAsia="Times New Roman" w:hAnsi="Times New Roman" w:cs="Times New Roman"/>
                <w:sz w:val="20"/>
                <w:szCs w:val="20"/>
                <w:lang w:eastAsia="pt-BR"/>
              </w:rPr>
              <w:t>encontra temporariamente indisponível, em razão de processo de migração sistêmica conduzido pela Secretaria de Patrimônio da União, o que tem impactado a possibilidade de registro e atualização das informações patrimoniais.</w:t>
            </w:r>
          </w:p>
          <w:p w14:paraId="13FB1C2E" w14:textId="3A250F0F" w:rsidR="00E35DBA" w:rsidRPr="006F1331" w:rsidRDefault="0047405F" w:rsidP="0047405F">
            <w:pPr>
              <w:ind w:firstLine="0"/>
              <w:jc w:val="both"/>
              <w:rPr>
                <w:rFonts w:ascii="Times New Roman" w:eastAsia="Times New Roman" w:hAnsi="Times New Roman" w:cs="Times New Roman"/>
                <w:sz w:val="20"/>
                <w:szCs w:val="20"/>
                <w:lang w:eastAsia="pt-BR"/>
              </w:rPr>
            </w:pPr>
            <w:r w:rsidRPr="0047405F">
              <w:rPr>
                <w:rFonts w:ascii="Times New Roman" w:eastAsia="Times New Roman" w:hAnsi="Times New Roman" w:cs="Times New Roman"/>
                <w:sz w:val="20"/>
                <w:szCs w:val="20"/>
                <w:lang w:eastAsia="pt-BR"/>
              </w:rPr>
              <w:t xml:space="preserve">Diante desse cenário, conclui-se que as recomendações se encontram em implementação, considerando que, embora não tenham sido integralmente atendidas até o momento, a unidade vem adotando medidas para seu cumprimento, restando pendente a regularização dos registros </w:t>
            </w:r>
            <w:r w:rsidR="00CE7538">
              <w:rPr>
                <w:rFonts w:ascii="Times New Roman" w:eastAsia="Times New Roman" w:hAnsi="Times New Roman" w:cs="Times New Roman"/>
                <w:sz w:val="20"/>
                <w:szCs w:val="20"/>
                <w:lang w:eastAsia="pt-BR"/>
              </w:rPr>
              <w:t>no novo sistema.</w:t>
            </w:r>
          </w:p>
        </w:tc>
      </w:tr>
      <w:tr w:rsidR="00E35DBA" w:rsidRPr="00677E67" w14:paraId="7468CA0C"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4DDBDE3" w14:textId="52FE1259" w:rsidR="00E35DBA" w:rsidRPr="00677E67" w:rsidRDefault="0053424C" w:rsidP="00E35DBA">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49CA63F0" w14:textId="4F85FB07" w:rsidR="00E35DBA" w:rsidRPr="0053424C" w:rsidRDefault="0053424C" w:rsidP="00E35DBA">
            <w:pPr>
              <w:ind w:firstLine="0"/>
              <w:jc w:val="both"/>
              <w:rPr>
                <w:rFonts w:ascii="Times New Roman" w:eastAsia="Times New Roman" w:hAnsi="Times New Roman" w:cs="Times New Roman"/>
                <w:sz w:val="20"/>
                <w:szCs w:val="20"/>
                <w:lang w:eastAsia="pt-BR"/>
              </w:rPr>
            </w:pPr>
            <w:r w:rsidRPr="0053424C">
              <w:rPr>
                <w:rFonts w:ascii="Times New Roman" w:eastAsia="Times New Roman" w:hAnsi="Times New Roman" w:cs="Times New Roman"/>
                <w:sz w:val="20"/>
                <w:szCs w:val="20"/>
                <w:lang w:eastAsia="pt-BR"/>
              </w:rPr>
              <w:t>Em implementação</w:t>
            </w:r>
          </w:p>
        </w:tc>
      </w:tr>
      <w:tr w:rsidR="0042422E" w:rsidRPr="00677E67" w14:paraId="6560100E" w14:textId="77777777" w:rsidTr="001E3A7A">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B71F897" w14:textId="02849F5D" w:rsidR="0042422E" w:rsidRPr="00677E67" w:rsidRDefault="0042422E" w:rsidP="0042422E">
            <w:pPr>
              <w:ind w:firstLine="0"/>
              <w:jc w:val="both"/>
              <w:rPr>
                <w:rFonts w:ascii="Times New Roman" w:hAnsi="Times New Roman" w:cs="Times New Roman"/>
                <w:b/>
                <w:color w:val="000000"/>
                <w:sz w:val="20"/>
                <w:szCs w:val="20"/>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2024</w:t>
            </w:r>
            <w:r w:rsidRPr="00677E67">
              <w:rPr>
                <w:rFonts w:ascii="Times New Roman" w:eastAsia="Times New Roman" w:hAnsi="Times New Roman" w:cs="Times New Roman"/>
                <w:b/>
                <w:bCs/>
                <w:sz w:val="20"/>
                <w:szCs w:val="20"/>
                <w:lang w:eastAsia="pt-BR"/>
              </w:rPr>
              <w:t xml:space="preserve"> (id.</w:t>
            </w:r>
            <w:r w:rsidRPr="00552F7D">
              <w:t xml:space="preserve"> </w:t>
            </w:r>
            <w:r w:rsidRPr="00B7185F">
              <w:rPr>
                <w:rFonts w:ascii="Times New Roman" w:eastAsia="Times New Roman" w:hAnsi="Times New Roman" w:cs="Times New Roman"/>
                <w:sz w:val="20"/>
                <w:szCs w:val="20"/>
                <w:lang w:eastAsia="pt-BR"/>
              </w:rPr>
              <w:t>1174391</w:t>
            </w:r>
            <w:r w:rsidRPr="00677E67">
              <w:rPr>
                <w:rFonts w:ascii="Times New Roman" w:eastAsia="Times New Roman" w:hAnsi="Times New Roman" w:cs="Times New Roman"/>
                <w:b/>
                <w:bCs/>
                <w:sz w:val="20"/>
                <w:szCs w:val="20"/>
                <w:lang w:eastAsia="pt-BR"/>
              </w:rPr>
              <w:t>)</w:t>
            </w:r>
          </w:p>
          <w:p w14:paraId="4E5A95B1" w14:textId="77777777" w:rsidR="0042422E" w:rsidRPr="00790C72" w:rsidRDefault="0042422E" w:rsidP="0042422E">
            <w:pPr>
              <w:ind w:firstLine="0"/>
              <w:jc w:val="both"/>
              <w:rPr>
                <w:rFonts w:ascii="Times New Roman" w:eastAsia="Times New Roman" w:hAnsi="Times New Roman" w:cs="Times New Roman"/>
                <w:b/>
                <w:bCs/>
                <w:sz w:val="20"/>
                <w:szCs w:val="20"/>
                <w:lang w:eastAsia="pt-BR"/>
              </w:rPr>
            </w:pPr>
            <w:r w:rsidRPr="00790C72">
              <w:rPr>
                <w:rFonts w:ascii="Times New Roman" w:eastAsia="Times New Roman" w:hAnsi="Times New Roman" w:cs="Times New Roman"/>
                <w:b/>
                <w:bCs/>
                <w:sz w:val="20"/>
                <w:szCs w:val="20"/>
                <w:lang w:eastAsia="pt-BR"/>
              </w:rPr>
              <w:lastRenderedPageBreak/>
              <w:t xml:space="preserve">4.2. Imóveis de terceiros em posse da Justiça Federal da 6ª Região sem o devido registro no SIAFI e no </w:t>
            </w:r>
            <w:proofErr w:type="spellStart"/>
            <w:r w:rsidRPr="00790C72">
              <w:rPr>
                <w:rFonts w:ascii="Times New Roman" w:eastAsia="Times New Roman" w:hAnsi="Times New Roman" w:cs="Times New Roman"/>
                <w:b/>
                <w:bCs/>
                <w:sz w:val="20"/>
                <w:szCs w:val="20"/>
                <w:lang w:eastAsia="pt-BR"/>
              </w:rPr>
              <w:t>SPIUnet</w:t>
            </w:r>
            <w:proofErr w:type="spellEnd"/>
          </w:p>
          <w:p w14:paraId="1FFA6E24" w14:textId="22D84575" w:rsidR="0042422E" w:rsidRPr="00677E67" w:rsidRDefault="0042422E" w:rsidP="00E35DBA">
            <w:pPr>
              <w:ind w:firstLine="0"/>
              <w:jc w:val="both"/>
              <w:rPr>
                <w:rFonts w:ascii="Times New Roman" w:eastAsia="Times New Roman" w:hAnsi="Times New Roman" w:cs="Times New Roman"/>
                <w:b/>
                <w:bCs/>
                <w:sz w:val="20"/>
                <w:szCs w:val="20"/>
                <w:lang w:eastAsia="pt-BR"/>
              </w:rPr>
            </w:pPr>
            <w:r w:rsidRPr="0042422E">
              <w:rPr>
                <w:rFonts w:ascii="Times New Roman" w:eastAsia="Times New Roman" w:hAnsi="Times New Roman" w:cs="Times New Roman"/>
                <w:b/>
                <w:bCs/>
                <w:sz w:val="20"/>
                <w:szCs w:val="20"/>
                <w:lang w:eastAsia="pt-BR"/>
              </w:rPr>
              <w:t>4.2.2. Imóvel de terceiros que abrigará a Sede da SSJ de Paracatu</w:t>
            </w:r>
          </w:p>
        </w:tc>
      </w:tr>
      <w:tr w:rsidR="0042422E" w:rsidRPr="00677E67" w14:paraId="4F5D36E0"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3DDB4DE" w14:textId="40D90B82" w:rsidR="0042422E" w:rsidRPr="00677E67" w:rsidRDefault="0042422E" w:rsidP="0042422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lastRenderedPageBreak/>
              <w:t>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6B705441" w14:textId="254CB845" w:rsidR="0042422E" w:rsidRPr="0093695C" w:rsidRDefault="0093695C" w:rsidP="0093695C">
            <w:pPr>
              <w:pStyle w:val="PargrafodaLista"/>
              <w:numPr>
                <w:ilvl w:val="0"/>
                <w:numId w:val="25"/>
              </w:numPr>
              <w:tabs>
                <w:tab w:val="left" w:pos="490"/>
              </w:tabs>
              <w:ind w:left="65" w:firstLine="0"/>
              <w:jc w:val="both"/>
              <w:rPr>
                <w:rFonts w:ascii="Times New Roman" w:eastAsia="Times New Roman" w:hAnsi="Times New Roman" w:cs="Times New Roman"/>
                <w:sz w:val="20"/>
                <w:szCs w:val="20"/>
                <w:lang w:eastAsia="pt-BR"/>
              </w:rPr>
            </w:pPr>
            <w:r w:rsidRPr="0093695C">
              <w:rPr>
                <w:rFonts w:ascii="Times New Roman" w:hAnsi="Times New Roman" w:cs="Times New Roman"/>
                <w:color w:val="000000"/>
                <w:sz w:val="20"/>
                <w:szCs w:val="20"/>
              </w:rPr>
              <w:t xml:space="preserve">Recomenda-se à SEMAP/SECAM que efetue o cadastro, no SIAFI e no </w:t>
            </w:r>
            <w:proofErr w:type="spellStart"/>
            <w:r w:rsidRPr="0093695C">
              <w:rPr>
                <w:rFonts w:ascii="Times New Roman" w:hAnsi="Times New Roman" w:cs="Times New Roman"/>
                <w:color w:val="000000"/>
                <w:sz w:val="20"/>
                <w:szCs w:val="20"/>
              </w:rPr>
              <w:t>SPIUnet</w:t>
            </w:r>
            <w:proofErr w:type="spellEnd"/>
            <w:r w:rsidRPr="0093695C">
              <w:rPr>
                <w:rFonts w:ascii="Times New Roman" w:hAnsi="Times New Roman" w:cs="Times New Roman"/>
                <w:color w:val="000000"/>
                <w:sz w:val="20"/>
                <w:szCs w:val="20"/>
              </w:rPr>
              <w:t>, do novo imóvel que abrigará a Sede da Subseção Judiciária de Paracatu.</w:t>
            </w:r>
          </w:p>
        </w:tc>
      </w:tr>
      <w:tr w:rsidR="0093695C" w:rsidRPr="00677E67" w14:paraId="5C640E85"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66E78F8" w14:textId="08B898F7" w:rsidR="0093695C" w:rsidRPr="00677E67" w:rsidRDefault="0093695C"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67239DA7" w14:textId="783CE75F" w:rsidR="0093695C" w:rsidRPr="00677E67" w:rsidRDefault="0093695C"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93695C" w:rsidRPr="00677E67" w14:paraId="3307B624"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DF71F4F" w14:textId="53CC2E31" w:rsidR="0093695C" w:rsidRPr="00677E67" w:rsidRDefault="0093695C"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70A25BFB" w14:textId="77777777" w:rsidR="00696DD1" w:rsidRDefault="00696DD1" w:rsidP="00696DD1">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Relatório SEMAP (id. </w:t>
            </w:r>
            <w:r w:rsidRPr="00CA3098">
              <w:rPr>
                <w:rFonts w:ascii="Times New Roman" w:eastAsia="Times New Roman" w:hAnsi="Times New Roman" w:cs="Times New Roman"/>
                <w:sz w:val="20"/>
                <w:szCs w:val="20"/>
                <w:lang w:eastAsia="pt-BR"/>
              </w:rPr>
              <w:t>1668782</w:t>
            </w:r>
            <w:r>
              <w:rPr>
                <w:rFonts w:ascii="Times New Roman" w:eastAsia="Times New Roman" w:hAnsi="Times New Roman" w:cs="Times New Roman"/>
                <w:sz w:val="20"/>
                <w:szCs w:val="20"/>
                <w:lang w:eastAsia="pt-BR"/>
              </w:rPr>
              <w:t xml:space="preserve">): “(...) </w:t>
            </w:r>
            <w:r w:rsidRPr="00CA3098">
              <w:rPr>
                <w:rFonts w:ascii="Times New Roman" w:eastAsia="Times New Roman" w:hAnsi="Times New Roman" w:cs="Times New Roman"/>
                <w:sz w:val="20"/>
                <w:szCs w:val="20"/>
                <w:lang w:eastAsia="pt-BR"/>
              </w:rPr>
              <w:t>informamos que, no momento, a consulta direta ao sistema </w:t>
            </w:r>
            <w:proofErr w:type="spellStart"/>
            <w:r w:rsidRPr="00CA3098">
              <w:rPr>
                <w:rFonts w:ascii="Times New Roman" w:eastAsia="Times New Roman" w:hAnsi="Times New Roman" w:cs="Times New Roman"/>
                <w:sz w:val="20"/>
                <w:szCs w:val="20"/>
                <w:lang w:eastAsia="pt-BR"/>
              </w:rPr>
              <w:t>SPIUnet</w:t>
            </w:r>
            <w:proofErr w:type="spellEnd"/>
            <w:r w:rsidRPr="00CA3098">
              <w:rPr>
                <w:rFonts w:ascii="Times New Roman" w:eastAsia="Times New Roman" w:hAnsi="Times New Roman" w:cs="Times New Roman"/>
                <w:sz w:val="20"/>
                <w:szCs w:val="20"/>
                <w:lang w:eastAsia="pt-BR"/>
              </w:rPr>
              <w:t> encontra-se indisponível.</w:t>
            </w:r>
            <w:r>
              <w:rPr>
                <w:rFonts w:ascii="Times New Roman" w:eastAsia="Times New Roman" w:hAnsi="Times New Roman" w:cs="Times New Roman"/>
                <w:sz w:val="20"/>
                <w:szCs w:val="20"/>
                <w:lang w:eastAsia="pt-BR"/>
              </w:rPr>
              <w:t xml:space="preserve"> </w:t>
            </w:r>
            <w:r w:rsidRPr="00CA3098">
              <w:rPr>
                <w:rFonts w:ascii="Times New Roman" w:eastAsia="Times New Roman" w:hAnsi="Times New Roman" w:cs="Times New Roman"/>
                <w:sz w:val="20"/>
                <w:szCs w:val="20"/>
                <w:lang w:eastAsia="pt-BR"/>
              </w:rPr>
              <w:t xml:space="preserve">Esta limitação ocorre devido ao processo de migração e transição sistêmica conduzido pela Secretaria de Patrimônio da União (SPU), que está substituindo o antigo </w:t>
            </w:r>
            <w:proofErr w:type="spellStart"/>
            <w:r w:rsidRPr="00CA3098">
              <w:rPr>
                <w:rFonts w:ascii="Times New Roman" w:eastAsia="Times New Roman" w:hAnsi="Times New Roman" w:cs="Times New Roman"/>
                <w:sz w:val="20"/>
                <w:szCs w:val="20"/>
                <w:lang w:eastAsia="pt-BR"/>
              </w:rPr>
              <w:t>SPIUnet</w:t>
            </w:r>
            <w:proofErr w:type="spellEnd"/>
            <w:r w:rsidRPr="00CA3098">
              <w:rPr>
                <w:rFonts w:ascii="Times New Roman" w:eastAsia="Times New Roman" w:hAnsi="Times New Roman" w:cs="Times New Roman"/>
                <w:sz w:val="20"/>
                <w:szCs w:val="20"/>
                <w:lang w:eastAsia="pt-BR"/>
              </w:rPr>
              <w:t xml:space="preserve"> por uma nova plataforma de gestão patrimonial.</w:t>
            </w:r>
            <w:r>
              <w:rPr>
                <w:rFonts w:ascii="Times New Roman" w:eastAsia="Times New Roman" w:hAnsi="Times New Roman" w:cs="Times New Roman"/>
                <w:sz w:val="20"/>
                <w:szCs w:val="20"/>
                <w:lang w:eastAsia="pt-BR"/>
              </w:rPr>
              <w:t xml:space="preserve"> </w:t>
            </w:r>
            <w:r w:rsidRPr="00CA3098">
              <w:rPr>
                <w:rFonts w:ascii="Times New Roman" w:eastAsia="Times New Roman" w:hAnsi="Times New Roman" w:cs="Times New Roman"/>
                <w:sz w:val="20"/>
                <w:szCs w:val="20"/>
                <w:lang w:eastAsia="pt-BR"/>
              </w:rPr>
              <w:t>Durante este período de transição, os acessos para consulta e extração de relatórios foram suspensos ou restritos pelo órgão gestor para garantir a integridade da migração dos dados.</w:t>
            </w:r>
          </w:p>
          <w:p w14:paraId="1FAF9D67" w14:textId="77777777" w:rsidR="00696DD1" w:rsidRPr="00CA3098" w:rsidRDefault="00696DD1" w:rsidP="00696DD1">
            <w:pPr>
              <w:ind w:firstLine="0"/>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b/>
                <w:bCs/>
                <w:sz w:val="20"/>
                <w:szCs w:val="20"/>
                <w:lang w:eastAsia="pt-BR"/>
              </w:rPr>
              <w:t>Medidas Adotadas:</w:t>
            </w:r>
          </w:p>
          <w:p w14:paraId="2F363D94" w14:textId="77777777" w:rsidR="00696DD1" w:rsidRPr="00CA3098" w:rsidRDefault="00696DD1" w:rsidP="00696DD1">
            <w:pPr>
              <w:numPr>
                <w:ilvl w:val="0"/>
                <w:numId w:val="61"/>
              </w:numPr>
              <w:tabs>
                <w:tab w:val="clear" w:pos="720"/>
              </w:tabs>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Estamos monitorando a liberação das credenciais no novo sistema, prevista para 01/04/2026;</w:t>
            </w:r>
          </w:p>
          <w:p w14:paraId="4EE52357" w14:textId="77777777" w:rsidR="00696DD1" w:rsidRPr="00CA3098" w:rsidRDefault="00696DD1" w:rsidP="00696DD1">
            <w:pPr>
              <w:numPr>
                <w:ilvl w:val="0"/>
                <w:numId w:val="61"/>
              </w:numPr>
              <w:tabs>
                <w:tab w:val="clear" w:pos="720"/>
              </w:tabs>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Assim que o ambiente for estabilizado e o cadastro do bem estiver disponível na nova plataforma, os documentos serão analisados, com prioridade.</w:t>
            </w:r>
          </w:p>
          <w:p w14:paraId="4789B2DF" w14:textId="77777777" w:rsidR="00696DD1" w:rsidRDefault="00696DD1" w:rsidP="00696DD1">
            <w:pPr>
              <w:numPr>
                <w:ilvl w:val="0"/>
                <w:numId w:val="61"/>
              </w:numPr>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 xml:space="preserve">Prazo: A partir de </w:t>
            </w:r>
            <w:r>
              <w:rPr>
                <w:rFonts w:ascii="Times New Roman" w:eastAsia="Times New Roman" w:hAnsi="Times New Roman" w:cs="Times New Roman"/>
                <w:sz w:val="20"/>
                <w:szCs w:val="20"/>
                <w:lang w:eastAsia="pt-BR"/>
              </w:rPr>
              <w:t>a</w:t>
            </w:r>
            <w:r w:rsidRPr="00CA3098">
              <w:rPr>
                <w:rFonts w:ascii="Times New Roman" w:eastAsia="Times New Roman" w:hAnsi="Times New Roman" w:cs="Times New Roman"/>
                <w:sz w:val="20"/>
                <w:szCs w:val="20"/>
                <w:lang w:eastAsia="pt-BR"/>
              </w:rPr>
              <w:t>bril/2026</w:t>
            </w:r>
          </w:p>
          <w:p w14:paraId="089FEEEE" w14:textId="77777777" w:rsidR="00696DD1" w:rsidRDefault="00696DD1" w:rsidP="00696DD1">
            <w:pPr>
              <w:ind w:firstLine="0"/>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Ressaltamos que tal indisponibilidade é de ordem externa e sistêmica, alheia ao controle desta seção</w:t>
            </w:r>
            <w:r>
              <w:rPr>
                <w:rFonts w:ascii="Times New Roman" w:eastAsia="Times New Roman" w:hAnsi="Times New Roman" w:cs="Times New Roman"/>
                <w:sz w:val="20"/>
                <w:szCs w:val="20"/>
                <w:lang w:eastAsia="pt-BR"/>
              </w:rPr>
              <w:t>.</w:t>
            </w:r>
          </w:p>
          <w:p w14:paraId="7A9DD2BC" w14:textId="77777777" w:rsidR="00696DD1" w:rsidRDefault="00696DD1" w:rsidP="00696DD1">
            <w:pPr>
              <w:ind w:firstLine="0"/>
              <w:jc w:val="both"/>
              <w:rPr>
                <w:rFonts w:ascii="Times New Roman" w:eastAsia="Times New Roman" w:hAnsi="Times New Roman" w:cs="Times New Roman"/>
                <w:b/>
                <w:bCs/>
                <w:sz w:val="20"/>
                <w:szCs w:val="20"/>
                <w:lang w:eastAsia="pt-BR"/>
              </w:rPr>
            </w:pPr>
            <w:r w:rsidRPr="00E10048">
              <w:rPr>
                <w:rFonts w:ascii="Times New Roman" w:eastAsia="Times New Roman" w:hAnsi="Times New Roman" w:cs="Times New Roman"/>
                <w:b/>
                <w:bCs/>
                <w:sz w:val="20"/>
                <w:szCs w:val="20"/>
                <w:lang w:eastAsia="pt-BR"/>
              </w:rPr>
              <w:t>Informações:</w:t>
            </w:r>
          </w:p>
          <w:p w14:paraId="13AA71EE" w14:textId="6753E4A0" w:rsidR="00696DD1" w:rsidRPr="0035580E" w:rsidRDefault="0035580E" w:rsidP="0035580E">
            <w:pPr>
              <w:pStyle w:val="tabelatextojustificado"/>
              <w:numPr>
                <w:ilvl w:val="0"/>
                <w:numId w:val="63"/>
              </w:numPr>
              <w:spacing w:before="0" w:beforeAutospacing="0" w:after="0" w:afterAutospacing="0"/>
              <w:ind w:left="491" w:hanging="283"/>
              <w:jc w:val="both"/>
              <w:rPr>
                <w:color w:val="000000"/>
                <w:sz w:val="20"/>
                <w:szCs w:val="20"/>
              </w:rPr>
            </w:pPr>
            <w:hyperlink r:id="rId46" w:history="1">
              <w:r w:rsidRPr="00CC6E4F">
                <w:rPr>
                  <w:rStyle w:val="Hyperlink"/>
                  <w:sz w:val="20"/>
                  <w:szCs w:val="20"/>
                </w:rPr>
                <w:t>https://www.gov.br/gestao/pt-br/assuntos/patrimonio-da-uniao/transformacao-digital/desligamentosistemas2</w:t>
              </w:r>
            </w:hyperlink>
          </w:p>
          <w:p w14:paraId="0CE18637" w14:textId="77777777" w:rsidR="00696DD1" w:rsidRPr="0035580E" w:rsidRDefault="00696DD1" w:rsidP="0035580E">
            <w:pPr>
              <w:pStyle w:val="tabelatextojustificado"/>
              <w:numPr>
                <w:ilvl w:val="0"/>
                <w:numId w:val="63"/>
              </w:numPr>
              <w:spacing w:before="0" w:beforeAutospacing="0" w:after="0" w:afterAutospacing="0"/>
              <w:ind w:left="491" w:hanging="283"/>
              <w:jc w:val="both"/>
              <w:rPr>
                <w:color w:val="000000"/>
                <w:sz w:val="20"/>
                <w:szCs w:val="20"/>
              </w:rPr>
            </w:pPr>
            <w:r w:rsidRPr="0035580E">
              <w:rPr>
                <w:color w:val="000000"/>
                <w:sz w:val="20"/>
                <w:szCs w:val="20"/>
              </w:rPr>
              <w:t>Informamos que o cadastramento dos imóveis próprios é de competência da Secretaria de Patrimônio da União (SPU). </w:t>
            </w:r>
          </w:p>
          <w:p w14:paraId="42E69BC9" w14:textId="77777777" w:rsidR="00696DD1" w:rsidRPr="0035580E" w:rsidRDefault="00696DD1" w:rsidP="0035580E">
            <w:pPr>
              <w:pStyle w:val="tabelatextojustificado"/>
              <w:numPr>
                <w:ilvl w:val="0"/>
                <w:numId w:val="63"/>
              </w:numPr>
              <w:spacing w:before="0" w:beforeAutospacing="0" w:after="0" w:afterAutospacing="0"/>
              <w:ind w:left="491" w:hanging="283"/>
              <w:jc w:val="both"/>
              <w:rPr>
                <w:color w:val="000000"/>
                <w:sz w:val="20"/>
                <w:szCs w:val="20"/>
              </w:rPr>
            </w:pPr>
            <w:r w:rsidRPr="0035580E">
              <w:rPr>
                <w:color w:val="000000"/>
                <w:sz w:val="20"/>
                <w:szCs w:val="20"/>
              </w:rPr>
              <w:t xml:space="preserve">No caso da SSJ de São João </w:t>
            </w:r>
            <w:proofErr w:type="spellStart"/>
            <w:r w:rsidRPr="0035580E">
              <w:rPr>
                <w:color w:val="000000"/>
                <w:sz w:val="20"/>
                <w:szCs w:val="20"/>
              </w:rPr>
              <w:t>del</w:t>
            </w:r>
            <w:proofErr w:type="spellEnd"/>
            <w:r w:rsidRPr="0035580E">
              <w:rPr>
                <w:color w:val="000000"/>
                <w:sz w:val="20"/>
                <w:szCs w:val="20"/>
              </w:rPr>
              <w:t xml:space="preserve"> Rei, há pendência relacionadas à documentação do imóvel.</w:t>
            </w:r>
          </w:p>
          <w:p w14:paraId="2C78D81E" w14:textId="23F34384" w:rsidR="0093695C" w:rsidRPr="0035580E" w:rsidRDefault="00696DD1" w:rsidP="00696DD1">
            <w:pPr>
              <w:ind w:firstLine="0"/>
              <w:jc w:val="both"/>
              <w:rPr>
                <w:rFonts w:ascii="Times New Roman" w:eastAsia="Times New Roman" w:hAnsi="Times New Roman" w:cs="Times New Roman"/>
                <w:b/>
                <w:bCs/>
                <w:sz w:val="20"/>
                <w:szCs w:val="20"/>
                <w:lang w:eastAsia="pt-BR"/>
              </w:rPr>
            </w:pPr>
            <w:r w:rsidRPr="0035580E">
              <w:rPr>
                <w:rFonts w:ascii="Times New Roman" w:hAnsi="Times New Roman" w:cs="Times New Roman"/>
                <w:color w:val="000000"/>
                <w:sz w:val="20"/>
                <w:szCs w:val="20"/>
              </w:rPr>
              <w:t xml:space="preserve">Quanto aos registros das </w:t>
            </w:r>
            <w:proofErr w:type="spellStart"/>
            <w:r w:rsidRPr="0035580E">
              <w:rPr>
                <w:rFonts w:ascii="Times New Roman" w:hAnsi="Times New Roman" w:cs="Times New Roman"/>
                <w:color w:val="000000"/>
                <w:sz w:val="20"/>
                <w:szCs w:val="20"/>
              </w:rPr>
              <w:t>UAAs</w:t>
            </w:r>
            <w:proofErr w:type="spellEnd"/>
            <w:r w:rsidRPr="0035580E">
              <w:rPr>
                <w:rFonts w:ascii="Times New Roman" w:hAnsi="Times New Roman" w:cs="Times New Roman"/>
                <w:color w:val="000000"/>
                <w:sz w:val="20"/>
                <w:szCs w:val="20"/>
              </w:rPr>
              <w:t>, esta unidade realiza acompanhamento diário por meio da Intranet, na seção de Atos Administrativos, a fim de manter o controle e a atualização das informações”.</w:t>
            </w:r>
          </w:p>
        </w:tc>
      </w:tr>
      <w:tr w:rsidR="0093695C" w:rsidRPr="00677E67" w14:paraId="508A3831"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55BBF4F" w14:textId="45DDD21B" w:rsidR="0093695C" w:rsidRPr="00677E67" w:rsidRDefault="0093695C"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0AAF351B" w14:textId="77777777" w:rsidR="0093695C" w:rsidRPr="0093695C" w:rsidRDefault="0093695C" w:rsidP="0093695C">
            <w:pPr>
              <w:ind w:firstLine="0"/>
              <w:jc w:val="both"/>
              <w:rPr>
                <w:rFonts w:ascii="Times New Roman" w:eastAsia="Times New Roman" w:hAnsi="Times New Roman" w:cs="Times New Roman"/>
                <w:sz w:val="20"/>
                <w:szCs w:val="20"/>
                <w:lang w:eastAsia="pt-BR"/>
              </w:rPr>
            </w:pPr>
            <w:r w:rsidRPr="0093695C">
              <w:rPr>
                <w:rFonts w:ascii="Times New Roman" w:eastAsia="Times New Roman" w:hAnsi="Times New Roman" w:cs="Times New Roman"/>
                <w:sz w:val="20"/>
                <w:szCs w:val="20"/>
                <w:lang w:eastAsia="pt-BR"/>
              </w:rPr>
              <w:t>Em consulta ao SIAFI, em 31/01/2026, verificou-se que ainda não houve o registro do imóvel que abriga a nova sede da SSJ de Paracatu.</w:t>
            </w:r>
          </w:p>
          <w:p w14:paraId="191566F4" w14:textId="11A5720C" w:rsidR="0093695C" w:rsidRDefault="0093695C" w:rsidP="0093695C">
            <w:pPr>
              <w:ind w:firstLine="0"/>
              <w:jc w:val="both"/>
              <w:rPr>
                <w:rFonts w:ascii="Times New Roman" w:eastAsia="Times New Roman" w:hAnsi="Times New Roman" w:cs="Times New Roman"/>
                <w:sz w:val="20"/>
                <w:szCs w:val="20"/>
                <w:lang w:eastAsia="pt-BR"/>
              </w:rPr>
            </w:pPr>
            <w:r w:rsidRPr="0093695C">
              <w:rPr>
                <w:rFonts w:ascii="Times New Roman" w:eastAsia="Times New Roman" w:hAnsi="Times New Roman" w:cs="Times New Roman"/>
                <w:sz w:val="20"/>
                <w:szCs w:val="20"/>
                <w:lang w:eastAsia="pt-BR"/>
              </w:rPr>
              <w:t>Conforme Requerimento (id. </w:t>
            </w:r>
            <w:r w:rsidRPr="00B7185F">
              <w:rPr>
                <w:rFonts w:ascii="Times New Roman" w:eastAsia="Times New Roman" w:hAnsi="Times New Roman" w:cs="Times New Roman"/>
                <w:sz w:val="20"/>
                <w:szCs w:val="20"/>
                <w:lang w:eastAsia="pt-BR"/>
              </w:rPr>
              <w:t>1076073</w:t>
            </w:r>
            <w:r w:rsidRPr="0093695C">
              <w:rPr>
                <w:rFonts w:ascii="Times New Roman" w:eastAsia="Times New Roman" w:hAnsi="Times New Roman" w:cs="Times New Roman"/>
                <w:sz w:val="20"/>
                <w:szCs w:val="20"/>
                <w:lang w:eastAsia="pt-BR"/>
              </w:rPr>
              <w:t>) e Termo de ciência (id. </w:t>
            </w:r>
            <w:r w:rsidRPr="00B7185F">
              <w:rPr>
                <w:rFonts w:ascii="Times New Roman" w:eastAsia="Times New Roman" w:hAnsi="Times New Roman" w:cs="Times New Roman"/>
                <w:sz w:val="20"/>
                <w:szCs w:val="20"/>
                <w:lang w:eastAsia="pt-BR"/>
              </w:rPr>
              <w:t>1098451</w:t>
            </w:r>
            <w:r w:rsidRPr="0093695C">
              <w:rPr>
                <w:rFonts w:ascii="Times New Roman" w:eastAsia="Times New Roman" w:hAnsi="Times New Roman" w:cs="Times New Roman"/>
                <w:sz w:val="20"/>
                <w:szCs w:val="20"/>
                <w:lang w:eastAsia="pt-BR"/>
              </w:rPr>
              <w:t>), a mudança para a nova sede ocorreu em fevereiro/2025.</w:t>
            </w:r>
          </w:p>
          <w:p w14:paraId="6CF81E29" w14:textId="77777777" w:rsidR="007E2728" w:rsidRPr="007E2728" w:rsidRDefault="007E2728" w:rsidP="007E2728">
            <w:pPr>
              <w:ind w:firstLine="0"/>
              <w:jc w:val="both"/>
              <w:rPr>
                <w:rFonts w:ascii="Times New Roman" w:eastAsia="Times New Roman" w:hAnsi="Times New Roman" w:cs="Times New Roman"/>
                <w:sz w:val="20"/>
                <w:szCs w:val="20"/>
                <w:lang w:eastAsia="pt-BR"/>
              </w:rPr>
            </w:pPr>
            <w:r w:rsidRPr="007E2728">
              <w:rPr>
                <w:rFonts w:ascii="Times New Roman" w:eastAsia="Times New Roman" w:hAnsi="Times New Roman" w:cs="Times New Roman"/>
                <w:sz w:val="20"/>
                <w:szCs w:val="20"/>
                <w:lang w:eastAsia="pt-BR"/>
              </w:rPr>
              <w:t>Ressalta-se, contudo, que o processo de migração sistêmica conduzido pela Secretaria de Patrimônio da União tem impactado a possibilidade de registro e atualização das informações patrimoniais nos sistemas corporativos.</w:t>
            </w:r>
          </w:p>
          <w:p w14:paraId="6BC71C01" w14:textId="476B31BC" w:rsidR="00696DD1" w:rsidRPr="0093695C" w:rsidRDefault="007E2728" w:rsidP="0035580E">
            <w:pPr>
              <w:ind w:firstLine="0"/>
              <w:jc w:val="both"/>
              <w:rPr>
                <w:rFonts w:ascii="Times New Roman" w:eastAsia="Times New Roman" w:hAnsi="Times New Roman" w:cs="Times New Roman"/>
                <w:sz w:val="20"/>
                <w:szCs w:val="20"/>
                <w:lang w:eastAsia="pt-BR"/>
              </w:rPr>
            </w:pPr>
            <w:r w:rsidRPr="007E2728">
              <w:rPr>
                <w:rFonts w:ascii="Times New Roman" w:eastAsia="Times New Roman" w:hAnsi="Times New Roman" w:cs="Times New Roman"/>
                <w:sz w:val="20"/>
                <w:szCs w:val="20"/>
                <w:lang w:eastAsia="pt-BR"/>
              </w:rPr>
              <w:t>Diante desse contexto, classifica-se a recomendação como em implementação, considerando que a pendência decorre, em parte, de fatores externos à unidade auditada.</w:t>
            </w:r>
          </w:p>
        </w:tc>
      </w:tr>
      <w:tr w:rsidR="0093695C" w:rsidRPr="00677E67" w14:paraId="6BA2996A"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83D42F3" w14:textId="7B51C682" w:rsidR="0093695C" w:rsidRPr="00677E67" w:rsidRDefault="0093695C"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213E3C78" w14:textId="20ADA81C" w:rsidR="0093695C" w:rsidRPr="00677E67" w:rsidRDefault="0093695C" w:rsidP="0093695C">
            <w:pPr>
              <w:ind w:firstLine="0"/>
              <w:jc w:val="both"/>
              <w:rPr>
                <w:rFonts w:ascii="Times New Roman" w:eastAsia="Times New Roman" w:hAnsi="Times New Roman" w:cs="Times New Roman"/>
                <w:b/>
                <w:bCs/>
                <w:sz w:val="20"/>
                <w:szCs w:val="20"/>
                <w:lang w:eastAsia="pt-BR"/>
              </w:rPr>
            </w:pPr>
            <w:r w:rsidRPr="0053424C">
              <w:rPr>
                <w:rFonts w:ascii="Times New Roman" w:eastAsia="Times New Roman" w:hAnsi="Times New Roman" w:cs="Times New Roman"/>
                <w:sz w:val="20"/>
                <w:szCs w:val="20"/>
                <w:lang w:eastAsia="pt-BR"/>
              </w:rPr>
              <w:t>Em implementação</w:t>
            </w:r>
          </w:p>
        </w:tc>
      </w:tr>
      <w:tr w:rsidR="00432295" w:rsidRPr="00677E67" w14:paraId="3BDBF162" w14:textId="77777777" w:rsidTr="002349E2">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9D11832" w14:textId="2604F547" w:rsidR="00432295" w:rsidRPr="00677E67" w:rsidRDefault="00432295" w:rsidP="00432295">
            <w:pPr>
              <w:ind w:firstLine="0"/>
              <w:jc w:val="both"/>
              <w:rPr>
                <w:rFonts w:ascii="Times New Roman" w:hAnsi="Times New Roman" w:cs="Times New Roman"/>
                <w:b/>
                <w:color w:val="000000"/>
                <w:sz w:val="20"/>
                <w:szCs w:val="20"/>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2024</w:t>
            </w:r>
            <w:r w:rsidRPr="00677E67">
              <w:rPr>
                <w:rFonts w:ascii="Times New Roman" w:eastAsia="Times New Roman" w:hAnsi="Times New Roman" w:cs="Times New Roman"/>
                <w:b/>
                <w:bCs/>
                <w:sz w:val="20"/>
                <w:szCs w:val="20"/>
                <w:lang w:eastAsia="pt-BR"/>
              </w:rPr>
              <w:t xml:space="preserve"> (id.</w:t>
            </w:r>
            <w:r w:rsidRPr="00552F7D">
              <w:t xml:space="preserve"> </w:t>
            </w:r>
            <w:r w:rsidRPr="00B7185F">
              <w:rPr>
                <w:rFonts w:ascii="Times New Roman" w:eastAsia="Times New Roman" w:hAnsi="Times New Roman" w:cs="Times New Roman"/>
                <w:sz w:val="20"/>
                <w:szCs w:val="20"/>
                <w:lang w:eastAsia="pt-BR"/>
              </w:rPr>
              <w:t>1174391</w:t>
            </w:r>
            <w:r w:rsidRPr="00677E67">
              <w:rPr>
                <w:rFonts w:ascii="Times New Roman" w:eastAsia="Times New Roman" w:hAnsi="Times New Roman" w:cs="Times New Roman"/>
                <w:b/>
                <w:bCs/>
                <w:sz w:val="20"/>
                <w:szCs w:val="20"/>
                <w:lang w:eastAsia="pt-BR"/>
              </w:rPr>
              <w:t>)</w:t>
            </w:r>
          </w:p>
          <w:p w14:paraId="659A2ECC" w14:textId="77777777" w:rsidR="00432295" w:rsidRPr="00790C72" w:rsidRDefault="00432295" w:rsidP="00432295">
            <w:pPr>
              <w:ind w:firstLine="0"/>
              <w:jc w:val="both"/>
              <w:rPr>
                <w:rFonts w:ascii="Times New Roman" w:eastAsia="Times New Roman" w:hAnsi="Times New Roman" w:cs="Times New Roman"/>
                <w:b/>
                <w:bCs/>
                <w:sz w:val="20"/>
                <w:szCs w:val="20"/>
                <w:lang w:eastAsia="pt-BR"/>
              </w:rPr>
            </w:pPr>
            <w:r w:rsidRPr="00790C72">
              <w:rPr>
                <w:rFonts w:ascii="Times New Roman" w:eastAsia="Times New Roman" w:hAnsi="Times New Roman" w:cs="Times New Roman"/>
                <w:b/>
                <w:bCs/>
                <w:sz w:val="20"/>
                <w:szCs w:val="20"/>
                <w:lang w:eastAsia="pt-BR"/>
              </w:rPr>
              <w:t xml:space="preserve">4.2. Imóveis de terceiros em posse da Justiça Federal da 6ª Região sem o devido registro no SIAFI e no </w:t>
            </w:r>
            <w:proofErr w:type="spellStart"/>
            <w:r w:rsidRPr="00790C72">
              <w:rPr>
                <w:rFonts w:ascii="Times New Roman" w:eastAsia="Times New Roman" w:hAnsi="Times New Roman" w:cs="Times New Roman"/>
                <w:b/>
                <w:bCs/>
                <w:sz w:val="20"/>
                <w:szCs w:val="20"/>
                <w:lang w:eastAsia="pt-BR"/>
              </w:rPr>
              <w:t>SPIUnet</w:t>
            </w:r>
            <w:proofErr w:type="spellEnd"/>
          </w:p>
          <w:p w14:paraId="7265863E" w14:textId="15DC34EE" w:rsidR="00432295" w:rsidRPr="0053424C" w:rsidRDefault="00432295" w:rsidP="0093695C">
            <w:pPr>
              <w:ind w:firstLine="0"/>
              <w:jc w:val="both"/>
              <w:rPr>
                <w:rFonts w:ascii="Times New Roman" w:eastAsia="Times New Roman" w:hAnsi="Times New Roman" w:cs="Times New Roman"/>
                <w:sz w:val="20"/>
                <w:szCs w:val="20"/>
                <w:lang w:eastAsia="pt-BR"/>
              </w:rPr>
            </w:pPr>
            <w:r w:rsidRPr="00432295">
              <w:rPr>
                <w:rFonts w:ascii="Times New Roman" w:eastAsia="Times New Roman" w:hAnsi="Times New Roman" w:cs="Times New Roman"/>
                <w:b/>
                <w:bCs/>
                <w:sz w:val="20"/>
                <w:szCs w:val="20"/>
                <w:lang w:eastAsia="pt-BR"/>
              </w:rPr>
              <w:t xml:space="preserve">4.2.3. Baixa indevida de imóvel que abriga a SSJ de Paracatu no </w:t>
            </w:r>
            <w:proofErr w:type="spellStart"/>
            <w:r w:rsidRPr="00432295">
              <w:rPr>
                <w:rFonts w:ascii="Times New Roman" w:eastAsia="Times New Roman" w:hAnsi="Times New Roman" w:cs="Times New Roman"/>
                <w:b/>
                <w:bCs/>
                <w:sz w:val="20"/>
                <w:szCs w:val="20"/>
                <w:lang w:eastAsia="pt-BR"/>
              </w:rPr>
              <w:t>SPIUnet</w:t>
            </w:r>
            <w:proofErr w:type="spellEnd"/>
            <w:r w:rsidRPr="00432295">
              <w:rPr>
                <w:rFonts w:ascii="Times New Roman" w:eastAsia="Times New Roman" w:hAnsi="Times New Roman" w:cs="Times New Roman"/>
                <w:b/>
                <w:bCs/>
                <w:sz w:val="20"/>
                <w:szCs w:val="20"/>
                <w:lang w:eastAsia="pt-BR"/>
              </w:rPr>
              <w:t xml:space="preserve"> e SIAFI</w:t>
            </w:r>
          </w:p>
        </w:tc>
      </w:tr>
      <w:tr w:rsidR="00D31C13" w:rsidRPr="00677E67" w14:paraId="4DDAF2A4"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E142819" w14:textId="17ABC70B" w:rsidR="00D31C13" w:rsidRPr="00677E67" w:rsidRDefault="00432295"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56531F0C" w14:textId="42846F8E" w:rsidR="00D31C13" w:rsidRPr="00AB174E" w:rsidRDefault="00AB174E" w:rsidP="0093695C">
            <w:pPr>
              <w:pStyle w:val="PargrafodaLista"/>
              <w:numPr>
                <w:ilvl w:val="0"/>
                <w:numId w:val="25"/>
              </w:numPr>
              <w:tabs>
                <w:tab w:val="left" w:pos="490"/>
              </w:tabs>
              <w:ind w:left="65" w:firstLine="0"/>
              <w:jc w:val="both"/>
              <w:rPr>
                <w:rFonts w:ascii="Times New Roman" w:hAnsi="Times New Roman" w:cs="Times New Roman"/>
                <w:color w:val="000000"/>
                <w:sz w:val="20"/>
                <w:szCs w:val="20"/>
              </w:rPr>
            </w:pPr>
            <w:r w:rsidRPr="00AB174E">
              <w:rPr>
                <w:rFonts w:ascii="Times New Roman" w:hAnsi="Times New Roman" w:cs="Times New Roman"/>
                <w:color w:val="000000"/>
                <w:sz w:val="20"/>
                <w:szCs w:val="20"/>
              </w:rPr>
              <w:t xml:space="preserve">Recomenda-se à SEMAP/SECAM que efetue o cadastro do imóvel que abriga a Subseção Judiciária de Paracatu no </w:t>
            </w:r>
            <w:proofErr w:type="spellStart"/>
            <w:r w:rsidRPr="00AB174E">
              <w:rPr>
                <w:rFonts w:ascii="Times New Roman" w:hAnsi="Times New Roman" w:cs="Times New Roman"/>
                <w:color w:val="000000"/>
                <w:sz w:val="20"/>
                <w:szCs w:val="20"/>
              </w:rPr>
              <w:t>SPIUnet</w:t>
            </w:r>
            <w:proofErr w:type="spellEnd"/>
            <w:r w:rsidRPr="00AB174E">
              <w:rPr>
                <w:rFonts w:ascii="Times New Roman" w:hAnsi="Times New Roman" w:cs="Times New Roman"/>
                <w:color w:val="000000"/>
                <w:sz w:val="20"/>
                <w:szCs w:val="20"/>
              </w:rPr>
              <w:t xml:space="preserve"> e no SIAFI e realize o acompanhamento da situação desse imóvel, promovendo-se a baixa somente após a devolução do imóvel ao proprietário.</w:t>
            </w:r>
          </w:p>
        </w:tc>
      </w:tr>
      <w:tr w:rsidR="00D31C13" w:rsidRPr="00677E67" w14:paraId="4D5633FE"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6EE9006" w14:textId="457EB230" w:rsidR="00D31C13" w:rsidRPr="00677E67" w:rsidRDefault="00432295"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19181E7C" w14:textId="5A3475CD" w:rsidR="00D31C13" w:rsidRPr="0053424C" w:rsidRDefault="00AB174E" w:rsidP="0093695C">
            <w:pPr>
              <w:ind w:firstLine="0"/>
              <w:jc w:val="both"/>
              <w:rPr>
                <w:rFonts w:ascii="Times New Roman" w:eastAsia="Times New Roman" w:hAnsi="Times New Roman" w:cs="Times New Roman"/>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D31C13" w:rsidRPr="00677E67" w14:paraId="035EFB9D"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3C60ACF" w14:textId="507E3A0D" w:rsidR="00D31C13" w:rsidRPr="00677E67" w:rsidRDefault="00432295"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3F999E69" w14:textId="37C55ACA" w:rsidR="00D31C13" w:rsidRPr="00B1767C" w:rsidRDefault="00220893" w:rsidP="0093695C">
            <w:pPr>
              <w:ind w:firstLine="0"/>
              <w:jc w:val="both"/>
              <w:rPr>
                <w:rFonts w:ascii="Times New Roman" w:eastAsia="Times New Roman" w:hAnsi="Times New Roman" w:cs="Times New Roman"/>
                <w:i/>
                <w:iCs/>
                <w:sz w:val="20"/>
                <w:szCs w:val="20"/>
                <w:lang w:eastAsia="pt-BR"/>
              </w:rPr>
            </w:pPr>
            <w:r>
              <w:rPr>
                <w:rFonts w:ascii="Times New Roman" w:eastAsia="Times New Roman" w:hAnsi="Times New Roman" w:cs="Times New Roman"/>
                <w:sz w:val="20"/>
                <w:szCs w:val="20"/>
                <w:lang w:eastAsia="pt-BR"/>
              </w:rPr>
              <w:t xml:space="preserve">Plano </w:t>
            </w:r>
            <w:r w:rsidR="00B1767C" w:rsidRPr="006F1331">
              <w:rPr>
                <w:rFonts w:ascii="Times New Roman" w:eastAsia="Times New Roman" w:hAnsi="Times New Roman" w:cs="Times New Roman"/>
                <w:sz w:val="20"/>
                <w:szCs w:val="20"/>
                <w:lang w:eastAsia="pt-BR"/>
              </w:rPr>
              <w:t>de ação</w:t>
            </w:r>
            <w:r>
              <w:rPr>
                <w:rFonts w:ascii="Times New Roman" w:eastAsia="Times New Roman" w:hAnsi="Times New Roman" w:cs="Times New Roman"/>
                <w:sz w:val="20"/>
                <w:szCs w:val="20"/>
                <w:lang w:eastAsia="pt-BR"/>
              </w:rPr>
              <w:t xml:space="preserve"> SEMAP</w:t>
            </w:r>
            <w:r w:rsidR="00B1767C" w:rsidRPr="006F1331">
              <w:rPr>
                <w:rFonts w:ascii="Times New Roman" w:eastAsia="Times New Roman" w:hAnsi="Times New Roman" w:cs="Times New Roman"/>
                <w:sz w:val="20"/>
                <w:szCs w:val="20"/>
                <w:lang w:eastAsia="pt-BR"/>
              </w:rPr>
              <w:t xml:space="preserve"> (id. </w:t>
            </w:r>
            <w:r w:rsidR="00B1767C" w:rsidRPr="00B7185F">
              <w:rPr>
                <w:rFonts w:ascii="Times New Roman" w:eastAsia="Times New Roman" w:hAnsi="Times New Roman" w:cs="Times New Roman"/>
                <w:sz w:val="20"/>
                <w:szCs w:val="20"/>
                <w:lang w:eastAsia="pt-BR"/>
              </w:rPr>
              <w:t>1169166</w:t>
            </w:r>
            <w:r w:rsidR="00B1767C" w:rsidRPr="006F1331">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w:t>
            </w:r>
            <w:r w:rsidR="00B1767C" w:rsidRPr="00220893">
              <w:rPr>
                <w:rFonts w:ascii="Times New Roman" w:eastAsia="Times New Roman" w:hAnsi="Times New Roman" w:cs="Times New Roman"/>
                <w:sz w:val="20"/>
                <w:szCs w:val="20"/>
                <w:lang w:eastAsia="pt-BR"/>
              </w:rPr>
              <w:t>“</w:t>
            </w:r>
            <w:r w:rsidR="008C117E">
              <w:rPr>
                <w:rFonts w:ascii="Times New Roman" w:eastAsia="Times New Roman" w:hAnsi="Times New Roman" w:cs="Times New Roman"/>
                <w:sz w:val="20"/>
                <w:szCs w:val="20"/>
                <w:lang w:eastAsia="pt-BR"/>
              </w:rPr>
              <w:t>O</w:t>
            </w:r>
            <w:r w:rsidR="00B1767C" w:rsidRPr="00220893">
              <w:rPr>
                <w:rFonts w:ascii="Times New Roman" w:eastAsia="Times New Roman" w:hAnsi="Times New Roman" w:cs="Times New Roman"/>
                <w:sz w:val="20"/>
                <w:szCs w:val="20"/>
                <w:lang w:eastAsia="pt-BR"/>
              </w:rPr>
              <w:t xml:space="preserve"> servidor responsável pelos ajustes solicitados procederá ao cadastro para acesso ao SPIUNET e procederá aos registros necessários no SPIUNET e/ou SIAFI, conforme o caso”.</w:t>
            </w:r>
          </w:p>
        </w:tc>
      </w:tr>
      <w:tr w:rsidR="00D31C13" w:rsidRPr="00677E67" w14:paraId="59FA0261"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FF709DB" w14:textId="1E28B213" w:rsidR="00D31C13" w:rsidRPr="00677E67" w:rsidRDefault="00432295"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43421A5C" w14:textId="5E993E16" w:rsidR="00D31C13" w:rsidRPr="0053424C" w:rsidRDefault="004E5062" w:rsidP="0093695C">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Pr="004E5062">
              <w:rPr>
                <w:rFonts w:ascii="Times New Roman" w:eastAsia="Times New Roman" w:hAnsi="Times New Roman" w:cs="Times New Roman"/>
                <w:sz w:val="20"/>
                <w:szCs w:val="20"/>
                <w:lang w:eastAsia="pt-BR"/>
              </w:rPr>
              <w:t xml:space="preserve">erificou-se que a Subseção Judiciária de Paracatu foi transferida para nova sede em </w:t>
            </w:r>
            <w:r w:rsidRPr="00D660D3">
              <w:rPr>
                <w:rFonts w:ascii="Times New Roman" w:eastAsia="Times New Roman" w:hAnsi="Times New Roman" w:cs="Times New Roman"/>
                <w:sz w:val="20"/>
                <w:szCs w:val="20"/>
                <w:lang w:eastAsia="pt-BR"/>
              </w:rPr>
              <w:t>06/02/2025</w:t>
            </w:r>
            <w:r w:rsidRPr="004E5062">
              <w:rPr>
                <w:rFonts w:ascii="Times New Roman" w:eastAsia="Times New Roman" w:hAnsi="Times New Roman" w:cs="Times New Roman"/>
                <w:sz w:val="20"/>
                <w:szCs w:val="20"/>
                <w:lang w:eastAsia="pt-BR"/>
              </w:rPr>
              <w:t xml:space="preserve">, </w:t>
            </w:r>
            <w:r w:rsidR="00502557">
              <w:rPr>
                <w:rFonts w:ascii="Times New Roman" w:eastAsia="Times New Roman" w:hAnsi="Times New Roman" w:cs="Times New Roman"/>
                <w:sz w:val="20"/>
                <w:szCs w:val="20"/>
                <w:lang w:eastAsia="pt-BR"/>
              </w:rPr>
              <w:t xml:space="preserve">conforme </w:t>
            </w:r>
            <w:r w:rsidR="00502557" w:rsidRPr="0093695C">
              <w:rPr>
                <w:rFonts w:ascii="Times New Roman" w:eastAsia="Times New Roman" w:hAnsi="Times New Roman" w:cs="Times New Roman"/>
                <w:sz w:val="20"/>
                <w:szCs w:val="20"/>
                <w:lang w:eastAsia="pt-BR"/>
              </w:rPr>
              <w:t>Requerimento (id. </w:t>
            </w:r>
            <w:r w:rsidR="00502557" w:rsidRPr="00B7185F">
              <w:rPr>
                <w:rFonts w:ascii="Times New Roman" w:eastAsia="Times New Roman" w:hAnsi="Times New Roman" w:cs="Times New Roman"/>
                <w:sz w:val="20"/>
                <w:szCs w:val="20"/>
                <w:lang w:eastAsia="pt-BR"/>
              </w:rPr>
              <w:t>1076073</w:t>
            </w:r>
            <w:r w:rsidR="00502557" w:rsidRPr="0093695C">
              <w:rPr>
                <w:rFonts w:ascii="Times New Roman" w:eastAsia="Times New Roman" w:hAnsi="Times New Roman" w:cs="Times New Roman"/>
                <w:sz w:val="20"/>
                <w:szCs w:val="20"/>
                <w:lang w:eastAsia="pt-BR"/>
              </w:rPr>
              <w:t>) e Termo de ciência (id. </w:t>
            </w:r>
            <w:r w:rsidR="00502557" w:rsidRPr="00B7185F">
              <w:rPr>
                <w:rFonts w:ascii="Times New Roman" w:eastAsia="Times New Roman" w:hAnsi="Times New Roman" w:cs="Times New Roman"/>
                <w:sz w:val="20"/>
                <w:szCs w:val="20"/>
                <w:lang w:eastAsia="pt-BR"/>
              </w:rPr>
              <w:t>1098451</w:t>
            </w:r>
            <w:r w:rsidR="00B7185F">
              <w:rPr>
                <w:rFonts w:ascii="Times New Roman" w:eastAsia="Times New Roman" w:hAnsi="Times New Roman" w:cs="Times New Roman"/>
                <w:sz w:val="20"/>
                <w:szCs w:val="20"/>
                <w:lang w:eastAsia="pt-BR"/>
              </w:rPr>
              <w:t>)</w:t>
            </w:r>
            <w:r w:rsidR="00502557">
              <w:rPr>
                <w:rFonts w:ascii="Times New Roman" w:eastAsia="Times New Roman" w:hAnsi="Times New Roman" w:cs="Times New Roman"/>
                <w:sz w:val="20"/>
                <w:szCs w:val="20"/>
                <w:lang w:eastAsia="pt-BR"/>
              </w:rPr>
              <w:t xml:space="preserve">, </w:t>
            </w:r>
            <w:r w:rsidRPr="004E5062">
              <w:rPr>
                <w:rFonts w:ascii="Times New Roman" w:eastAsia="Times New Roman" w:hAnsi="Times New Roman" w:cs="Times New Roman"/>
                <w:sz w:val="20"/>
                <w:szCs w:val="20"/>
                <w:lang w:eastAsia="pt-BR"/>
              </w:rPr>
              <w:t>ocasião em que o imóvel localizado na Av. Olegário Maciel, nº 166 foi desocupado. Dessa forma, considerando a perda de objeto da recomendação,</w:t>
            </w:r>
            <w:r>
              <w:rPr>
                <w:rFonts w:ascii="Times New Roman" w:eastAsia="Times New Roman" w:hAnsi="Times New Roman" w:cs="Times New Roman"/>
                <w:sz w:val="20"/>
                <w:szCs w:val="20"/>
                <w:lang w:eastAsia="pt-BR"/>
              </w:rPr>
              <w:t xml:space="preserve"> a equipe de auditoria classifica a recomendação </w:t>
            </w:r>
            <w:r w:rsidR="008340A8">
              <w:rPr>
                <w:rFonts w:ascii="Times New Roman" w:eastAsia="Times New Roman" w:hAnsi="Times New Roman" w:cs="Times New Roman"/>
                <w:sz w:val="20"/>
                <w:szCs w:val="20"/>
                <w:lang w:eastAsia="pt-BR"/>
              </w:rPr>
              <w:t xml:space="preserve">como </w:t>
            </w:r>
            <w:r>
              <w:rPr>
                <w:rFonts w:ascii="Times New Roman" w:eastAsia="Times New Roman" w:hAnsi="Times New Roman" w:cs="Times New Roman"/>
                <w:sz w:val="20"/>
                <w:szCs w:val="20"/>
                <w:lang w:eastAsia="pt-BR"/>
              </w:rPr>
              <w:t>prejudicada</w:t>
            </w:r>
            <w:r w:rsidRPr="004E5062">
              <w:rPr>
                <w:rFonts w:ascii="Times New Roman" w:eastAsia="Times New Roman" w:hAnsi="Times New Roman" w:cs="Times New Roman"/>
                <w:sz w:val="20"/>
                <w:szCs w:val="20"/>
                <w:lang w:eastAsia="pt-BR"/>
              </w:rPr>
              <w:t>.</w:t>
            </w:r>
          </w:p>
        </w:tc>
      </w:tr>
      <w:tr w:rsidR="00D31C13" w:rsidRPr="00677E67" w14:paraId="26CD0391"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11D7929" w14:textId="0B45BDB5" w:rsidR="00D31C13" w:rsidRPr="00677E67" w:rsidRDefault="00432295" w:rsidP="0093695C">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62BDCF77" w14:textId="5326AAC7" w:rsidR="00D31C13" w:rsidRPr="0053424C" w:rsidRDefault="003219B0" w:rsidP="0093695C">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Prejudicada</w:t>
            </w:r>
          </w:p>
        </w:tc>
      </w:tr>
      <w:tr w:rsidR="004E4798" w:rsidRPr="00677E67" w14:paraId="3B7BC1BC" w14:textId="77777777" w:rsidTr="00DA3572">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5D22F60" w14:textId="04EFAA65" w:rsidR="004E4798" w:rsidRPr="00677E67" w:rsidRDefault="004E4798" w:rsidP="004E4798">
            <w:pPr>
              <w:ind w:firstLine="0"/>
              <w:jc w:val="both"/>
              <w:rPr>
                <w:rFonts w:ascii="Times New Roman" w:hAnsi="Times New Roman" w:cs="Times New Roman"/>
                <w:b/>
                <w:color w:val="000000"/>
                <w:sz w:val="20"/>
                <w:szCs w:val="20"/>
              </w:rPr>
            </w:pPr>
            <w:r w:rsidRPr="00677E67">
              <w:rPr>
                <w:rFonts w:ascii="Times New Roman" w:eastAsia="Times New Roman" w:hAnsi="Times New Roman" w:cs="Times New Roman"/>
                <w:b/>
                <w:bCs/>
                <w:sz w:val="20"/>
                <w:szCs w:val="20"/>
                <w:lang w:eastAsia="pt-BR"/>
              </w:rPr>
              <w:lastRenderedPageBreak/>
              <w:t xml:space="preserve">Relatório Final de Auditoria </w:t>
            </w:r>
            <w:r w:rsidRPr="00511268">
              <w:rPr>
                <w:rFonts w:ascii="Times New Roman" w:eastAsia="Times New Roman" w:hAnsi="Times New Roman" w:cs="Times New Roman"/>
                <w:b/>
                <w:bCs/>
                <w:sz w:val="20"/>
                <w:szCs w:val="20"/>
                <w:u w:val="single"/>
                <w:lang w:eastAsia="pt-BR"/>
              </w:rPr>
              <w:t>2024</w:t>
            </w:r>
            <w:r w:rsidRPr="00677E67">
              <w:rPr>
                <w:rFonts w:ascii="Times New Roman" w:eastAsia="Times New Roman" w:hAnsi="Times New Roman" w:cs="Times New Roman"/>
                <w:b/>
                <w:bCs/>
                <w:sz w:val="20"/>
                <w:szCs w:val="20"/>
                <w:lang w:eastAsia="pt-BR"/>
              </w:rPr>
              <w:t xml:space="preserve"> (id.</w:t>
            </w:r>
            <w:r w:rsidRPr="00552F7D">
              <w:t xml:space="preserve"> </w:t>
            </w:r>
            <w:r w:rsidRPr="00B7185F">
              <w:rPr>
                <w:rFonts w:ascii="Times New Roman" w:eastAsia="Times New Roman" w:hAnsi="Times New Roman" w:cs="Times New Roman"/>
                <w:sz w:val="20"/>
                <w:szCs w:val="20"/>
                <w:lang w:eastAsia="pt-BR"/>
              </w:rPr>
              <w:t>1174391</w:t>
            </w:r>
            <w:r w:rsidRPr="00677E67">
              <w:rPr>
                <w:rFonts w:ascii="Times New Roman" w:eastAsia="Times New Roman" w:hAnsi="Times New Roman" w:cs="Times New Roman"/>
                <w:b/>
                <w:bCs/>
                <w:sz w:val="20"/>
                <w:szCs w:val="20"/>
                <w:lang w:eastAsia="pt-BR"/>
              </w:rPr>
              <w:t>)</w:t>
            </w:r>
          </w:p>
          <w:p w14:paraId="0B704740" w14:textId="77777777" w:rsidR="004E4798" w:rsidRPr="00790C72" w:rsidRDefault="004E4798" w:rsidP="004E4798">
            <w:pPr>
              <w:ind w:firstLine="0"/>
              <w:jc w:val="both"/>
              <w:rPr>
                <w:rFonts w:ascii="Times New Roman" w:eastAsia="Times New Roman" w:hAnsi="Times New Roman" w:cs="Times New Roman"/>
                <w:b/>
                <w:bCs/>
                <w:sz w:val="20"/>
                <w:szCs w:val="20"/>
                <w:lang w:eastAsia="pt-BR"/>
              </w:rPr>
            </w:pPr>
            <w:r w:rsidRPr="00790C72">
              <w:rPr>
                <w:rFonts w:ascii="Times New Roman" w:eastAsia="Times New Roman" w:hAnsi="Times New Roman" w:cs="Times New Roman"/>
                <w:b/>
                <w:bCs/>
                <w:sz w:val="20"/>
                <w:szCs w:val="20"/>
                <w:lang w:eastAsia="pt-BR"/>
              </w:rPr>
              <w:t xml:space="preserve">4.2. Imóveis de terceiros em posse da Justiça Federal da 6ª Região sem o devido registro no SIAFI e no </w:t>
            </w:r>
            <w:proofErr w:type="spellStart"/>
            <w:r w:rsidRPr="00790C72">
              <w:rPr>
                <w:rFonts w:ascii="Times New Roman" w:eastAsia="Times New Roman" w:hAnsi="Times New Roman" w:cs="Times New Roman"/>
                <w:b/>
                <w:bCs/>
                <w:sz w:val="20"/>
                <w:szCs w:val="20"/>
                <w:lang w:eastAsia="pt-BR"/>
              </w:rPr>
              <w:t>SPIUnet</w:t>
            </w:r>
            <w:proofErr w:type="spellEnd"/>
          </w:p>
          <w:p w14:paraId="683B06AB" w14:textId="167A9C15" w:rsidR="004E4798" w:rsidRPr="0053424C" w:rsidRDefault="004E4798" w:rsidP="0093695C">
            <w:pPr>
              <w:ind w:firstLine="0"/>
              <w:jc w:val="both"/>
              <w:rPr>
                <w:rFonts w:ascii="Times New Roman" w:eastAsia="Times New Roman" w:hAnsi="Times New Roman" w:cs="Times New Roman"/>
                <w:sz w:val="20"/>
                <w:szCs w:val="20"/>
                <w:lang w:eastAsia="pt-BR"/>
              </w:rPr>
            </w:pPr>
            <w:r w:rsidRPr="004E4798">
              <w:rPr>
                <w:rFonts w:ascii="Times New Roman" w:eastAsia="Times New Roman" w:hAnsi="Times New Roman" w:cs="Times New Roman"/>
                <w:b/>
                <w:bCs/>
                <w:sz w:val="20"/>
                <w:szCs w:val="20"/>
                <w:lang w:eastAsia="pt-BR"/>
              </w:rPr>
              <w:t>4.2.4. Imóvel de terceiros que abrigará a Biblioteca, o Centro de Memória, a Escola de Magistratura e a Revista Institucional</w:t>
            </w:r>
          </w:p>
        </w:tc>
      </w:tr>
      <w:tr w:rsidR="004E4798" w:rsidRPr="00677E67" w14:paraId="18D29BDC"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58CCEE8" w14:textId="1FEB819D" w:rsidR="004E4798" w:rsidRPr="00677E67" w:rsidRDefault="004E4798" w:rsidP="004E4798">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55EA4E81" w14:textId="023D06F1" w:rsidR="004E4798" w:rsidRPr="00AB174E" w:rsidRDefault="00AB174E" w:rsidP="004E4798">
            <w:pPr>
              <w:pStyle w:val="PargrafodaLista"/>
              <w:numPr>
                <w:ilvl w:val="0"/>
                <w:numId w:val="25"/>
              </w:numPr>
              <w:tabs>
                <w:tab w:val="left" w:pos="490"/>
              </w:tabs>
              <w:ind w:left="65" w:firstLine="0"/>
              <w:jc w:val="both"/>
              <w:rPr>
                <w:rFonts w:ascii="Times New Roman" w:hAnsi="Times New Roman" w:cs="Times New Roman"/>
                <w:color w:val="000000"/>
                <w:sz w:val="20"/>
                <w:szCs w:val="20"/>
              </w:rPr>
            </w:pPr>
            <w:r w:rsidRPr="00AB174E">
              <w:rPr>
                <w:rFonts w:ascii="Times New Roman" w:hAnsi="Times New Roman" w:cs="Times New Roman"/>
                <w:color w:val="000000"/>
                <w:sz w:val="20"/>
                <w:szCs w:val="20"/>
              </w:rPr>
              <w:t xml:space="preserve">Recomenda-se à SEMAP/SECAM que efetue o cadastro, no SIAFI e no </w:t>
            </w:r>
            <w:proofErr w:type="spellStart"/>
            <w:r w:rsidRPr="00AB174E">
              <w:rPr>
                <w:rFonts w:ascii="Times New Roman" w:hAnsi="Times New Roman" w:cs="Times New Roman"/>
                <w:color w:val="000000"/>
                <w:sz w:val="20"/>
                <w:szCs w:val="20"/>
              </w:rPr>
              <w:t>SPIUnet</w:t>
            </w:r>
            <w:proofErr w:type="spellEnd"/>
            <w:r w:rsidRPr="00AB174E">
              <w:rPr>
                <w:rFonts w:ascii="Times New Roman" w:hAnsi="Times New Roman" w:cs="Times New Roman"/>
                <w:color w:val="000000"/>
                <w:sz w:val="20"/>
                <w:szCs w:val="20"/>
              </w:rPr>
              <w:t>, do imóvel Solar Narbona, que abrigará a Biblioteca, o Centro de Memória e a Escola de Magistratura e Revista do TRF6.</w:t>
            </w:r>
          </w:p>
        </w:tc>
      </w:tr>
      <w:tr w:rsidR="00AB174E" w:rsidRPr="00677E67" w14:paraId="47424D52"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5F8FE66" w14:textId="092F7E8B"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5C446778" w14:textId="3DB36B17" w:rsidR="00AB174E" w:rsidRPr="0053424C" w:rsidRDefault="00AB174E" w:rsidP="00AB174E">
            <w:pPr>
              <w:ind w:firstLine="0"/>
              <w:jc w:val="both"/>
              <w:rPr>
                <w:rFonts w:ascii="Times New Roman" w:eastAsia="Times New Roman" w:hAnsi="Times New Roman" w:cs="Times New Roman"/>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AB174E" w:rsidRPr="00677E67" w14:paraId="4F4EE2D1"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205A4A7" w14:textId="71EBA4E1"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4D8A5796" w14:textId="3B214CA0" w:rsidR="00AB174E" w:rsidRPr="00220893" w:rsidRDefault="008C117E" w:rsidP="00AB174E">
            <w:pPr>
              <w:ind w:firstLine="0"/>
              <w:jc w:val="both"/>
              <w:rPr>
                <w:rFonts w:ascii="Times New Roman" w:eastAsia="Times New Roman" w:hAnsi="Times New Roman" w:cs="Times New Roman"/>
                <w:i/>
                <w:iCs/>
                <w:sz w:val="20"/>
                <w:szCs w:val="20"/>
                <w:lang w:eastAsia="pt-BR"/>
              </w:rPr>
            </w:pPr>
            <w:r>
              <w:rPr>
                <w:rFonts w:ascii="Times New Roman" w:eastAsia="Times New Roman" w:hAnsi="Times New Roman" w:cs="Times New Roman"/>
                <w:sz w:val="20"/>
                <w:szCs w:val="20"/>
                <w:lang w:eastAsia="pt-BR"/>
              </w:rPr>
              <w:t xml:space="preserve">Plano </w:t>
            </w:r>
            <w:r w:rsidRPr="006F1331">
              <w:rPr>
                <w:rFonts w:ascii="Times New Roman" w:eastAsia="Times New Roman" w:hAnsi="Times New Roman" w:cs="Times New Roman"/>
                <w:sz w:val="20"/>
                <w:szCs w:val="20"/>
                <w:lang w:eastAsia="pt-BR"/>
              </w:rPr>
              <w:t>de ação</w:t>
            </w:r>
            <w:r>
              <w:rPr>
                <w:rFonts w:ascii="Times New Roman" w:eastAsia="Times New Roman" w:hAnsi="Times New Roman" w:cs="Times New Roman"/>
                <w:sz w:val="20"/>
                <w:szCs w:val="20"/>
                <w:lang w:eastAsia="pt-BR"/>
              </w:rPr>
              <w:t xml:space="preserve"> SEMAP</w:t>
            </w:r>
            <w:r w:rsidRPr="006F1331">
              <w:rPr>
                <w:rFonts w:ascii="Times New Roman" w:eastAsia="Times New Roman" w:hAnsi="Times New Roman" w:cs="Times New Roman"/>
                <w:sz w:val="20"/>
                <w:szCs w:val="20"/>
                <w:lang w:eastAsia="pt-BR"/>
              </w:rPr>
              <w:t xml:space="preserve"> (id. </w:t>
            </w:r>
            <w:r w:rsidRPr="00B7185F">
              <w:rPr>
                <w:rFonts w:ascii="Times New Roman" w:eastAsia="Times New Roman" w:hAnsi="Times New Roman" w:cs="Times New Roman"/>
                <w:sz w:val="20"/>
                <w:szCs w:val="20"/>
                <w:lang w:eastAsia="pt-BR"/>
              </w:rPr>
              <w:t>1169166</w:t>
            </w:r>
            <w:r w:rsidRPr="006F1331">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w:t>
            </w:r>
            <w:r w:rsidR="00220893" w:rsidRPr="008C117E">
              <w:rPr>
                <w:rFonts w:ascii="Times New Roman" w:eastAsia="Times New Roman" w:hAnsi="Times New Roman" w:cs="Times New Roman"/>
                <w:sz w:val="20"/>
                <w:szCs w:val="20"/>
                <w:lang w:eastAsia="pt-BR"/>
              </w:rPr>
              <w:t>“</w:t>
            </w:r>
            <w:r w:rsidR="003B0D40" w:rsidRPr="003B0D40">
              <w:rPr>
                <w:rFonts w:ascii="Times New Roman" w:eastAsia="Times New Roman" w:hAnsi="Times New Roman" w:cs="Times New Roman"/>
                <w:sz w:val="20"/>
                <w:szCs w:val="20"/>
                <w:lang w:eastAsia="pt-BR"/>
              </w:rPr>
              <w:t>Será realizado o devido cadastro pela SEMAP quando de posse das informações atualizadas relativas ao imóvel</w:t>
            </w:r>
            <w:r w:rsidR="00220893" w:rsidRPr="008C117E">
              <w:rPr>
                <w:rFonts w:ascii="Times New Roman" w:eastAsia="Times New Roman" w:hAnsi="Times New Roman" w:cs="Times New Roman"/>
                <w:sz w:val="20"/>
                <w:szCs w:val="20"/>
                <w:lang w:eastAsia="pt-BR"/>
              </w:rPr>
              <w:t>”.</w:t>
            </w:r>
          </w:p>
        </w:tc>
      </w:tr>
      <w:tr w:rsidR="00AB174E" w:rsidRPr="00677E67" w14:paraId="671C36E1"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E69B32B" w14:textId="5450190E"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780B5DD9" w14:textId="2F830E19" w:rsidR="00AB174E" w:rsidRPr="0053424C" w:rsidRDefault="00DB6290" w:rsidP="00AB174E">
            <w:pPr>
              <w:ind w:firstLine="0"/>
              <w:jc w:val="both"/>
              <w:rPr>
                <w:rFonts w:ascii="Times New Roman" w:eastAsia="Times New Roman" w:hAnsi="Times New Roman" w:cs="Times New Roman"/>
                <w:sz w:val="20"/>
                <w:szCs w:val="20"/>
                <w:lang w:eastAsia="pt-BR"/>
              </w:rPr>
            </w:pPr>
            <w:r w:rsidRPr="00DB6290">
              <w:rPr>
                <w:rFonts w:ascii="Times New Roman" w:eastAsia="Times New Roman" w:hAnsi="Times New Roman" w:cs="Times New Roman"/>
                <w:sz w:val="20"/>
                <w:szCs w:val="20"/>
                <w:lang w:eastAsia="pt-BR"/>
              </w:rPr>
              <w:t>Conforme Ofício PRESI nº 1479/2025 (id. 1488928), o TRF6 manifestou interesse na devolução do imóvel denominado Solar Narbona ao Governo do Estado de Minas Gerais. Ademais, conforme Despacho DIGER nº 436/2026 (id. 1628183), encontram-se em andamento os procedimentos para formalização da rescisão do Termo de Cessão Gratuita de Uso nº 10/2024</w:t>
            </w:r>
            <w:r w:rsidR="008C4C66">
              <w:rPr>
                <w:rFonts w:ascii="Times New Roman" w:eastAsia="Times New Roman" w:hAnsi="Times New Roman" w:cs="Times New Roman"/>
                <w:sz w:val="20"/>
                <w:szCs w:val="20"/>
                <w:lang w:eastAsia="pt-BR"/>
              </w:rPr>
              <w:t xml:space="preserve"> (id. 0729207)</w:t>
            </w:r>
            <w:r w:rsidRPr="00DB6290">
              <w:rPr>
                <w:rFonts w:ascii="Times New Roman" w:eastAsia="Times New Roman" w:hAnsi="Times New Roman" w:cs="Times New Roman"/>
                <w:sz w:val="20"/>
                <w:szCs w:val="20"/>
                <w:lang w:eastAsia="pt-BR"/>
              </w:rPr>
              <w:t xml:space="preserve"> e devolução do imóvel à SEPLAG/MG. Nesse contexto, a recomendação resta </w:t>
            </w:r>
            <w:r w:rsidRPr="008C4C66">
              <w:rPr>
                <w:rFonts w:ascii="Times New Roman" w:eastAsia="Times New Roman" w:hAnsi="Times New Roman" w:cs="Times New Roman"/>
                <w:sz w:val="20"/>
                <w:szCs w:val="20"/>
                <w:lang w:eastAsia="pt-BR"/>
              </w:rPr>
              <w:t>prejudicada</w:t>
            </w:r>
            <w:r w:rsidRPr="00DB6290">
              <w:rPr>
                <w:rFonts w:ascii="Times New Roman" w:eastAsia="Times New Roman" w:hAnsi="Times New Roman" w:cs="Times New Roman"/>
                <w:sz w:val="20"/>
                <w:szCs w:val="20"/>
                <w:lang w:eastAsia="pt-BR"/>
              </w:rPr>
              <w:t xml:space="preserve">, tendo em vista que o imóvel não será incorporado ao patrimônio do Tribunal, inexistindo, portanto, a necessidade de cadastro no SIAFI e no </w:t>
            </w:r>
            <w:proofErr w:type="spellStart"/>
            <w:r w:rsidRPr="00DB6290">
              <w:rPr>
                <w:rFonts w:ascii="Times New Roman" w:eastAsia="Times New Roman" w:hAnsi="Times New Roman" w:cs="Times New Roman"/>
                <w:sz w:val="20"/>
                <w:szCs w:val="20"/>
                <w:lang w:eastAsia="pt-BR"/>
              </w:rPr>
              <w:t>SPIUnet</w:t>
            </w:r>
            <w:proofErr w:type="spellEnd"/>
            <w:r w:rsidRPr="00DB6290">
              <w:rPr>
                <w:rFonts w:ascii="Times New Roman" w:eastAsia="Times New Roman" w:hAnsi="Times New Roman" w:cs="Times New Roman"/>
                <w:sz w:val="20"/>
                <w:szCs w:val="20"/>
                <w:lang w:eastAsia="pt-BR"/>
              </w:rPr>
              <w:t>.</w:t>
            </w:r>
          </w:p>
        </w:tc>
      </w:tr>
      <w:tr w:rsidR="00AB174E" w:rsidRPr="00677E67" w14:paraId="4A463B6E"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A3C1B26" w14:textId="55C2A431"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0EEA36D5" w14:textId="4E697651" w:rsidR="00AB174E" w:rsidRPr="0053424C" w:rsidRDefault="00EF1C4A" w:rsidP="00AB174E">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Prejudicada</w:t>
            </w:r>
          </w:p>
        </w:tc>
      </w:tr>
      <w:tr w:rsidR="00AB174E" w:rsidRPr="00677E67" w14:paraId="1A7F05B9" w14:textId="77777777" w:rsidTr="00062DBE">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3C2547C" w14:textId="2198D145" w:rsidR="00AB174E" w:rsidRPr="00677E67" w:rsidRDefault="00AB174E" w:rsidP="00AB174E">
            <w:pPr>
              <w:ind w:firstLine="0"/>
              <w:jc w:val="both"/>
              <w:rPr>
                <w:rFonts w:ascii="Times New Roman" w:hAnsi="Times New Roman" w:cs="Times New Roman"/>
                <w:b/>
                <w:color w:val="000000"/>
                <w:sz w:val="20"/>
                <w:szCs w:val="20"/>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2024</w:t>
            </w:r>
            <w:r w:rsidRPr="00677E67">
              <w:rPr>
                <w:rFonts w:ascii="Times New Roman" w:eastAsia="Times New Roman" w:hAnsi="Times New Roman" w:cs="Times New Roman"/>
                <w:b/>
                <w:bCs/>
                <w:sz w:val="20"/>
                <w:szCs w:val="20"/>
                <w:lang w:eastAsia="pt-BR"/>
              </w:rPr>
              <w:t xml:space="preserve"> (id.</w:t>
            </w:r>
            <w:r w:rsidRPr="00552F7D">
              <w:t xml:space="preserve"> </w:t>
            </w:r>
            <w:r w:rsidRPr="00B7185F">
              <w:rPr>
                <w:rFonts w:ascii="Times New Roman" w:eastAsia="Times New Roman" w:hAnsi="Times New Roman" w:cs="Times New Roman"/>
                <w:sz w:val="20"/>
                <w:szCs w:val="20"/>
                <w:lang w:eastAsia="pt-BR"/>
              </w:rPr>
              <w:t>1174391</w:t>
            </w:r>
            <w:r w:rsidRPr="00677E67">
              <w:rPr>
                <w:rFonts w:ascii="Times New Roman" w:eastAsia="Times New Roman" w:hAnsi="Times New Roman" w:cs="Times New Roman"/>
                <w:b/>
                <w:bCs/>
                <w:sz w:val="20"/>
                <w:szCs w:val="20"/>
                <w:lang w:eastAsia="pt-BR"/>
              </w:rPr>
              <w:t>)</w:t>
            </w:r>
          </w:p>
          <w:p w14:paraId="657A28E0" w14:textId="25197CC0"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0A1EB0">
              <w:rPr>
                <w:rFonts w:ascii="Times New Roman" w:eastAsia="Times New Roman" w:hAnsi="Times New Roman" w:cs="Times New Roman"/>
                <w:b/>
                <w:bCs/>
                <w:sz w:val="20"/>
                <w:szCs w:val="20"/>
                <w:lang w:eastAsia="pt-BR"/>
              </w:rPr>
              <w:t>4.3. Inadequação no registro do imóvel que abrigará a sede da SSJ de Pouso Alegre, no SIAFI</w:t>
            </w:r>
          </w:p>
        </w:tc>
      </w:tr>
      <w:tr w:rsidR="00AB174E" w:rsidRPr="00677E67" w14:paraId="408C10D0"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1A155C2" w14:textId="72D35630"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030D1C43" w14:textId="77777777" w:rsidR="00AB174E" w:rsidRPr="00AB174E" w:rsidRDefault="00AB174E" w:rsidP="00AB174E">
            <w:pPr>
              <w:pStyle w:val="PargrafodaLista"/>
              <w:numPr>
                <w:ilvl w:val="0"/>
                <w:numId w:val="25"/>
              </w:numPr>
              <w:tabs>
                <w:tab w:val="left" w:pos="490"/>
              </w:tabs>
              <w:ind w:left="65" w:firstLine="0"/>
              <w:jc w:val="both"/>
              <w:rPr>
                <w:rFonts w:ascii="Times New Roman" w:hAnsi="Times New Roman" w:cs="Times New Roman"/>
                <w:color w:val="000000"/>
                <w:sz w:val="20"/>
                <w:szCs w:val="20"/>
              </w:rPr>
            </w:pPr>
            <w:r w:rsidRPr="000A1EB0">
              <w:rPr>
                <w:rFonts w:ascii="Times New Roman" w:hAnsi="Times New Roman" w:cs="Times New Roman"/>
                <w:color w:val="000000"/>
                <w:sz w:val="20"/>
                <w:szCs w:val="20"/>
              </w:rPr>
              <w:t xml:space="preserve">Recomenda-se à SEMAP/SECAM adotar as providências necessárias para corrigir o registro contábil do imóvel localizado em Pouso Alegre/MG (RIP nº 5049 00106.500-9), transferindo-o da UG 090059 - TRF6 para a UG 090013 - SJMG, em conformidade com o termo de </w:t>
            </w:r>
            <w:r w:rsidRPr="00AB174E">
              <w:rPr>
                <w:rFonts w:ascii="Times New Roman" w:hAnsi="Times New Roman" w:cs="Times New Roman"/>
                <w:color w:val="000000"/>
                <w:sz w:val="20"/>
                <w:szCs w:val="20"/>
              </w:rPr>
              <w:t>entrega  (id. </w:t>
            </w:r>
            <w:hyperlink r:id="rId47" w:tgtFrame="_blank" w:history="1">
              <w:r w:rsidRPr="00AB174E">
                <w:rPr>
                  <w:rFonts w:ascii="Times New Roman" w:hAnsi="Times New Roman" w:cs="Times New Roman"/>
                  <w:color w:val="000000"/>
                  <w:sz w:val="20"/>
                  <w:szCs w:val="20"/>
                </w:rPr>
                <w:t>0857452</w:t>
              </w:r>
            </w:hyperlink>
            <w:r w:rsidRPr="00AB174E">
              <w:rPr>
                <w:rFonts w:ascii="Times New Roman" w:hAnsi="Times New Roman" w:cs="Times New Roman"/>
                <w:color w:val="000000"/>
                <w:sz w:val="20"/>
                <w:szCs w:val="20"/>
              </w:rPr>
              <w:t>).</w:t>
            </w:r>
          </w:p>
          <w:p w14:paraId="6563CBBD" w14:textId="73A52EDC" w:rsidR="00AB174E" w:rsidRPr="00677E67" w:rsidRDefault="00AB174E" w:rsidP="00AB174E">
            <w:pPr>
              <w:pStyle w:val="PargrafodaLista"/>
              <w:numPr>
                <w:ilvl w:val="0"/>
                <w:numId w:val="25"/>
              </w:numPr>
              <w:tabs>
                <w:tab w:val="left" w:pos="490"/>
              </w:tabs>
              <w:ind w:left="65" w:firstLine="0"/>
              <w:jc w:val="both"/>
              <w:rPr>
                <w:rFonts w:ascii="Times New Roman" w:eastAsia="Times New Roman" w:hAnsi="Times New Roman" w:cs="Times New Roman"/>
                <w:b/>
                <w:bCs/>
                <w:sz w:val="20"/>
                <w:szCs w:val="20"/>
                <w:lang w:eastAsia="pt-BR"/>
              </w:rPr>
            </w:pPr>
            <w:r w:rsidRPr="000A1EB0">
              <w:rPr>
                <w:rFonts w:ascii="Times New Roman" w:hAnsi="Times New Roman" w:cs="Times New Roman"/>
                <w:color w:val="000000"/>
                <w:sz w:val="20"/>
                <w:szCs w:val="20"/>
              </w:rPr>
              <w:t>Recomenda-se à SEMAP/SECAM a implantação de mecanismos de controle que assegurem a análise prévia da destinação e utilização dos imóveis, antes da sua incorporação ao patrimônio do Tribunal, a fim de garantir que o registro contábil seja realizado na Unidade Gestora correta.</w:t>
            </w:r>
          </w:p>
        </w:tc>
      </w:tr>
      <w:tr w:rsidR="00AB174E" w:rsidRPr="00677E67" w14:paraId="7CA5A90A"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A55CF69" w14:textId="7412421A"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7902D4AB" w14:textId="54FF750C"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AB174E" w:rsidRPr="00677E67" w14:paraId="7ACAE9C7"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E8AB9B9" w14:textId="7EEB3716"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33B3DBD2" w14:textId="77777777" w:rsidR="00D021F9" w:rsidRDefault="00D021F9" w:rsidP="00D021F9">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Relatório SEMAP (id. </w:t>
            </w:r>
            <w:r w:rsidRPr="00CA3098">
              <w:rPr>
                <w:rFonts w:ascii="Times New Roman" w:eastAsia="Times New Roman" w:hAnsi="Times New Roman" w:cs="Times New Roman"/>
                <w:sz w:val="20"/>
                <w:szCs w:val="20"/>
                <w:lang w:eastAsia="pt-BR"/>
              </w:rPr>
              <w:t>1668782</w:t>
            </w:r>
            <w:r>
              <w:rPr>
                <w:rFonts w:ascii="Times New Roman" w:eastAsia="Times New Roman" w:hAnsi="Times New Roman" w:cs="Times New Roman"/>
                <w:sz w:val="20"/>
                <w:szCs w:val="20"/>
                <w:lang w:eastAsia="pt-BR"/>
              </w:rPr>
              <w:t xml:space="preserve">): “(...) </w:t>
            </w:r>
            <w:r w:rsidRPr="00CA3098">
              <w:rPr>
                <w:rFonts w:ascii="Times New Roman" w:eastAsia="Times New Roman" w:hAnsi="Times New Roman" w:cs="Times New Roman"/>
                <w:sz w:val="20"/>
                <w:szCs w:val="20"/>
                <w:lang w:eastAsia="pt-BR"/>
              </w:rPr>
              <w:t>informamos que, no momento, a consulta direta ao sistema </w:t>
            </w:r>
            <w:proofErr w:type="spellStart"/>
            <w:r w:rsidRPr="00CA3098">
              <w:rPr>
                <w:rFonts w:ascii="Times New Roman" w:eastAsia="Times New Roman" w:hAnsi="Times New Roman" w:cs="Times New Roman"/>
                <w:sz w:val="20"/>
                <w:szCs w:val="20"/>
                <w:lang w:eastAsia="pt-BR"/>
              </w:rPr>
              <w:t>SPIUnet</w:t>
            </w:r>
            <w:proofErr w:type="spellEnd"/>
            <w:r w:rsidRPr="00CA3098">
              <w:rPr>
                <w:rFonts w:ascii="Times New Roman" w:eastAsia="Times New Roman" w:hAnsi="Times New Roman" w:cs="Times New Roman"/>
                <w:sz w:val="20"/>
                <w:szCs w:val="20"/>
                <w:lang w:eastAsia="pt-BR"/>
              </w:rPr>
              <w:t> encontra-se indisponível.</w:t>
            </w:r>
            <w:r>
              <w:rPr>
                <w:rFonts w:ascii="Times New Roman" w:eastAsia="Times New Roman" w:hAnsi="Times New Roman" w:cs="Times New Roman"/>
                <w:sz w:val="20"/>
                <w:szCs w:val="20"/>
                <w:lang w:eastAsia="pt-BR"/>
              </w:rPr>
              <w:t xml:space="preserve"> </w:t>
            </w:r>
            <w:r w:rsidRPr="00CA3098">
              <w:rPr>
                <w:rFonts w:ascii="Times New Roman" w:eastAsia="Times New Roman" w:hAnsi="Times New Roman" w:cs="Times New Roman"/>
                <w:sz w:val="20"/>
                <w:szCs w:val="20"/>
                <w:lang w:eastAsia="pt-BR"/>
              </w:rPr>
              <w:t xml:space="preserve">Esta limitação ocorre devido ao processo de migração e transição sistêmica conduzido pela Secretaria de Patrimônio da União (SPU), que está substituindo o antigo </w:t>
            </w:r>
            <w:proofErr w:type="spellStart"/>
            <w:r w:rsidRPr="00CA3098">
              <w:rPr>
                <w:rFonts w:ascii="Times New Roman" w:eastAsia="Times New Roman" w:hAnsi="Times New Roman" w:cs="Times New Roman"/>
                <w:sz w:val="20"/>
                <w:szCs w:val="20"/>
                <w:lang w:eastAsia="pt-BR"/>
              </w:rPr>
              <w:t>SPIUnet</w:t>
            </w:r>
            <w:proofErr w:type="spellEnd"/>
            <w:r w:rsidRPr="00CA3098">
              <w:rPr>
                <w:rFonts w:ascii="Times New Roman" w:eastAsia="Times New Roman" w:hAnsi="Times New Roman" w:cs="Times New Roman"/>
                <w:sz w:val="20"/>
                <w:szCs w:val="20"/>
                <w:lang w:eastAsia="pt-BR"/>
              </w:rPr>
              <w:t xml:space="preserve"> por uma nova plataforma de gestão patrimonial.</w:t>
            </w:r>
            <w:r>
              <w:rPr>
                <w:rFonts w:ascii="Times New Roman" w:eastAsia="Times New Roman" w:hAnsi="Times New Roman" w:cs="Times New Roman"/>
                <w:sz w:val="20"/>
                <w:szCs w:val="20"/>
                <w:lang w:eastAsia="pt-BR"/>
              </w:rPr>
              <w:t xml:space="preserve"> </w:t>
            </w:r>
            <w:r w:rsidRPr="00CA3098">
              <w:rPr>
                <w:rFonts w:ascii="Times New Roman" w:eastAsia="Times New Roman" w:hAnsi="Times New Roman" w:cs="Times New Roman"/>
                <w:sz w:val="20"/>
                <w:szCs w:val="20"/>
                <w:lang w:eastAsia="pt-BR"/>
              </w:rPr>
              <w:t>Durante este período de transição, os acessos para consulta e extração de relatórios foram suspensos ou restritos pelo órgão gestor para garantir a integridade da migração dos dados.</w:t>
            </w:r>
          </w:p>
          <w:p w14:paraId="1604C482" w14:textId="77777777" w:rsidR="00D021F9" w:rsidRPr="00CA3098" w:rsidRDefault="00D021F9" w:rsidP="00D021F9">
            <w:pPr>
              <w:ind w:firstLine="0"/>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b/>
                <w:bCs/>
                <w:sz w:val="20"/>
                <w:szCs w:val="20"/>
                <w:lang w:eastAsia="pt-BR"/>
              </w:rPr>
              <w:t>Medidas Adotadas:</w:t>
            </w:r>
          </w:p>
          <w:p w14:paraId="4FF37210" w14:textId="77777777" w:rsidR="00D021F9" w:rsidRPr="00CA3098" w:rsidRDefault="00D021F9" w:rsidP="00D021F9">
            <w:pPr>
              <w:numPr>
                <w:ilvl w:val="0"/>
                <w:numId w:val="61"/>
              </w:numPr>
              <w:tabs>
                <w:tab w:val="clear" w:pos="720"/>
              </w:tabs>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Estamos monitorando a liberação das credenciais no novo sistema, prevista para 01/04/2026;</w:t>
            </w:r>
          </w:p>
          <w:p w14:paraId="496BAA8D" w14:textId="77777777" w:rsidR="00D021F9" w:rsidRPr="00CA3098" w:rsidRDefault="00D021F9" w:rsidP="00D021F9">
            <w:pPr>
              <w:numPr>
                <w:ilvl w:val="0"/>
                <w:numId w:val="61"/>
              </w:numPr>
              <w:tabs>
                <w:tab w:val="clear" w:pos="720"/>
              </w:tabs>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Assim que o ambiente for estabilizado e o cadastro do bem estiver disponível na nova plataforma, os documentos serão analisados, com prioridade.</w:t>
            </w:r>
          </w:p>
          <w:p w14:paraId="427ABBCA" w14:textId="77777777" w:rsidR="00D021F9" w:rsidRDefault="00D021F9" w:rsidP="00D021F9">
            <w:pPr>
              <w:numPr>
                <w:ilvl w:val="0"/>
                <w:numId w:val="61"/>
              </w:numPr>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 xml:space="preserve">Prazo: A partir de </w:t>
            </w:r>
            <w:r>
              <w:rPr>
                <w:rFonts w:ascii="Times New Roman" w:eastAsia="Times New Roman" w:hAnsi="Times New Roman" w:cs="Times New Roman"/>
                <w:sz w:val="20"/>
                <w:szCs w:val="20"/>
                <w:lang w:eastAsia="pt-BR"/>
              </w:rPr>
              <w:t>a</w:t>
            </w:r>
            <w:r w:rsidRPr="00CA3098">
              <w:rPr>
                <w:rFonts w:ascii="Times New Roman" w:eastAsia="Times New Roman" w:hAnsi="Times New Roman" w:cs="Times New Roman"/>
                <w:sz w:val="20"/>
                <w:szCs w:val="20"/>
                <w:lang w:eastAsia="pt-BR"/>
              </w:rPr>
              <w:t>bril/2026</w:t>
            </w:r>
          </w:p>
          <w:p w14:paraId="798302AE" w14:textId="77777777" w:rsidR="00D021F9" w:rsidRDefault="00D021F9" w:rsidP="00D021F9">
            <w:pPr>
              <w:ind w:firstLine="0"/>
              <w:jc w:val="both"/>
              <w:rPr>
                <w:rFonts w:ascii="Times New Roman" w:eastAsia="Times New Roman" w:hAnsi="Times New Roman" w:cs="Times New Roman"/>
                <w:sz w:val="20"/>
                <w:szCs w:val="20"/>
                <w:lang w:eastAsia="pt-BR"/>
              </w:rPr>
            </w:pPr>
            <w:r w:rsidRPr="00CA3098">
              <w:rPr>
                <w:rFonts w:ascii="Times New Roman" w:eastAsia="Times New Roman" w:hAnsi="Times New Roman" w:cs="Times New Roman"/>
                <w:sz w:val="20"/>
                <w:szCs w:val="20"/>
                <w:lang w:eastAsia="pt-BR"/>
              </w:rPr>
              <w:t>Ressaltamos que tal indisponibilidade é de ordem externa e sistêmica, alheia ao controle desta seção</w:t>
            </w:r>
            <w:r>
              <w:rPr>
                <w:rFonts w:ascii="Times New Roman" w:eastAsia="Times New Roman" w:hAnsi="Times New Roman" w:cs="Times New Roman"/>
                <w:sz w:val="20"/>
                <w:szCs w:val="20"/>
                <w:lang w:eastAsia="pt-BR"/>
              </w:rPr>
              <w:t>.</w:t>
            </w:r>
          </w:p>
          <w:p w14:paraId="320AC64C" w14:textId="77777777" w:rsidR="00D021F9" w:rsidRDefault="00D021F9" w:rsidP="00D021F9">
            <w:pPr>
              <w:ind w:firstLine="0"/>
              <w:jc w:val="both"/>
              <w:rPr>
                <w:rFonts w:ascii="Times New Roman" w:eastAsia="Times New Roman" w:hAnsi="Times New Roman" w:cs="Times New Roman"/>
                <w:b/>
                <w:bCs/>
                <w:sz w:val="20"/>
                <w:szCs w:val="20"/>
                <w:lang w:eastAsia="pt-BR"/>
              </w:rPr>
            </w:pPr>
            <w:r w:rsidRPr="00E10048">
              <w:rPr>
                <w:rFonts w:ascii="Times New Roman" w:eastAsia="Times New Roman" w:hAnsi="Times New Roman" w:cs="Times New Roman"/>
                <w:b/>
                <w:bCs/>
                <w:sz w:val="20"/>
                <w:szCs w:val="20"/>
                <w:lang w:eastAsia="pt-BR"/>
              </w:rPr>
              <w:t>Informações:</w:t>
            </w:r>
          </w:p>
          <w:p w14:paraId="62661977" w14:textId="77777777" w:rsidR="00D021F9" w:rsidRPr="0035580E" w:rsidRDefault="00D021F9" w:rsidP="00D021F9">
            <w:pPr>
              <w:pStyle w:val="tabelatextojustificado"/>
              <w:numPr>
                <w:ilvl w:val="0"/>
                <w:numId w:val="63"/>
              </w:numPr>
              <w:spacing w:before="0" w:beforeAutospacing="0" w:after="0" w:afterAutospacing="0"/>
              <w:ind w:left="491" w:hanging="283"/>
              <w:jc w:val="both"/>
              <w:rPr>
                <w:color w:val="000000"/>
                <w:sz w:val="20"/>
                <w:szCs w:val="20"/>
              </w:rPr>
            </w:pPr>
            <w:hyperlink r:id="rId48" w:history="1">
              <w:r w:rsidRPr="00CC6E4F">
                <w:rPr>
                  <w:rStyle w:val="Hyperlink"/>
                  <w:sz w:val="20"/>
                  <w:szCs w:val="20"/>
                </w:rPr>
                <w:t>https://www.gov.br/gestao/pt-br/assuntos/patrimonio-da-uniao/transformacao-digital/desligamentosistemas2</w:t>
              </w:r>
            </w:hyperlink>
          </w:p>
          <w:p w14:paraId="01EBCB7E" w14:textId="77777777" w:rsidR="00D021F9" w:rsidRPr="0035580E" w:rsidRDefault="00D021F9" w:rsidP="00D021F9">
            <w:pPr>
              <w:pStyle w:val="tabelatextojustificado"/>
              <w:numPr>
                <w:ilvl w:val="0"/>
                <w:numId w:val="63"/>
              </w:numPr>
              <w:spacing w:before="0" w:beforeAutospacing="0" w:after="0" w:afterAutospacing="0"/>
              <w:ind w:left="491" w:hanging="283"/>
              <w:jc w:val="both"/>
              <w:rPr>
                <w:color w:val="000000"/>
                <w:sz w:val="20"/>
                <w:szCs w:val="20"/>
              </w:rPr>
            </w:pPr>
            <w:r w:rsidRPr="0035580E">
              <w:rPr>
                <w:color w:val="000000"/>
                <w:sz w:val="20"/>
                <w:szCs w:val="20"/>
              </w:rPr>
              <w:t>Informamos que o cadastramento dos imóveis próprios é de competência da Secretaria de Patrimônio da União (SPU). </w:t>
            </w:r>
          </w:p>
          <w:p w14:paraId="4DEA4B68" w14:textId="77777777" w:rsidR="00D021F9" w:rsidRPr="0035580E" w:rsidRDefault="00D021F9" w:rsidP="00D021F9">
            <w:pPr>
              <w:pStyle w:val="tabelatextojustificado"/>
              <w:numPr>
                <w:ilvl w:val="0"/>
                <w:numId w:val="63"/>
              </w:numPr>
              <w:spacing w:before="0" w:beforeAutospacing="0" w:after="0" w:afterAutospacing="0"/>
              <w:ind w:left="491" w:hanging="283"/>
              <w:jc w:val="both"/>
              <w:rPr>
                <w:color w:val="000000"/>
                <w:sz w:val="20"/>
                <w:szCs w:val="20"/>
              </w:rPr>
            </w:pPr>
            <w:r w:rsidRPr="0035580E">
              <w:rPr>
                <w:color w:val="000000"/>
                <w:sz w:val="20"/>
                <w:szCs w:val="20"/>
              </w:rPr>
              <w:t xml:space="preserve">No caso da SSJ de São João </w:t>
            </w:r>
            <w:proofErr w:type="spellStart"/>
            <w:r w:rsidRPr="0035580E">
              <w:rPr>
                <w:color w:val="000000"/>
                <w:sz w:val="20"/>
                <w:szCs w:val="20"/>
              </w:rPr>
              <w:t>del</w:t>
            </w:r>
            <w:proofErr w:type="spellEnd"/>
            <w:r w:rsidRPr="0035580E">
              <w:rPr>
                <w:color w:val="000000"/>
                <w:sz w:val="20"/>
                <w:szCs w:val="20"/>
              </w:rPr>
              <w:t xml:space="preserve"> Rei, há pendência relacionadas à documentação do imóvel.</w:t>
            </w:r>
          </w:p>
          <w:p w14:paraId="1B03C5E0" w14:textId="305BBC30" w:rsidR="00AB174E" w:rsidRPr="00677E67" w:rsidRDefault="00D021F9" w:rsidP="00D021F9">
            <w:pPr>
              <w:ind w:firstLine="0"/>
              <w:jc w:val="both"/>
              <w:rPr>
                <w:rFonts w:ascii="Times New Roman" w:eastAsia="Times New Roman" w:hAnsi="Times New Roman" w:cs="Times New Roman"/>
                <w:b/>
                <w:bCs/>
                <w:sz w:val="20"/>
                <w:szCs w:val="20"/>
                <w:lang w:eastAsia="pt-BR"/>
              </w:rPr>
            </w:pPr>
            <w:r w:rsidRPr="0035580E">
              <w:rPr>
                <w:rFonts w:ascii="Times New Roman" w:hAnsi="Times New Roman" w:cs="Times New Roman"/>
                <w:color w:val="000000"/>
                <w:sz w:val="20"/>
                <w:szCs w:val="20"/>
              </w:rPr>
              <w:t xml:space="preserve">Quanto aos registros das </w:t>
            </w:r>
            <w:proofErr w:type="spellStart"/>
            <w:r w:rsidRPr="0035580E">
              <w:rPr>
                <w:rFonts w:ascii="Times New Roman" w:hAnsi="Times New Roman" w:cs="Times New Roman"/>
                <w:color w:val="000000"/>
                <w:sz w:val="20"/>
                <w:szCs w:val="20"/>
              </w:rPr>
              <w:t>UAAs</w:t>
            </w:r>
            <w:proofErr w:type="spellEnd"/>
            <w:r w:rsidRPr="0035580E">
              <w:rPr>
                <w:rFonts w:ascii="Times New Roman" w:hAnsi="Times New Roman" w:cs="Times New Roman"/>
                <w:color w:val="000000"/>
                <w:sz w:val="20"/>
                <w:szCs w:val="20"/>
              </w:rPr>
              <w:t>, esta unidade realiza acompanhamento diário por meio da Intranet, na seção de Atos Administrativos, a fim de manter o controle e a atualização das informações”.</w:t>
            </w:r>
          </w:p>
        </w:tc>
      </w:tr>
      <w:tr w:rsidR="00AB174E" w:rsidRPr="00677E67" w14:paraId="6E9D8CF0"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B2F0ECC" w14:textId="48E3AE5A"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4150512F" w14:textId="05A3635B" w:rsidR="00AB174E" w:rsidRDefault="00AB174E" w:rsidP="00AB174E">
            <w:pPr>
              <w:ind w:firstLine="0"/>
              <w:jc w:val="both"/>
              <w:rPr>
                <w:rFonts w:ascii="Times New Roman" w:eastAsia="Times New Roman" w:hAnsi="Times New Roman" w:cs="Times New Roman"/>
                <w:sz w:val="20"/>
                <w:szCs w:val="20"/>
                <w:lang w:eastAsia="pt-BR"/>
              </w:rPr>
            </w:pPr>
            <w:r w:rsidRPr="000A1EB0">
              <w:rPr>
                <w:rFonts w:ascii="Times New Roman" w:eastAsia="Times New Roman" w:hAnsi="Times New Roman" w:cs="Times New Roman"/>
                <w:sz w:val="20"/>
                <w:szCs w:val="20"/>
                <w:lang w:eastAsia="pt-BR"/>
              </w:rPr>
              <w:t>No plano de ação (id.</w:t>
            </w:r>
            <w:r w:rsidRPr="00B7185F">
              <w:rPr>
                <w:rFonts w:ascii="Times New Roman" w:eastAsia="Times New Roman" w:hAnsi="Times New Roman" w:cs="Times New Roman"/>
                <w:sz w:val="20"/>
                <w:szCs w:val="20"/>
                <w:lang w:eastAsia="pt-BR"/>
              </w:rPr>
              <w:t>1169166</w:t>
            </w:r>
            <w:r w:rsidRPr="000A1EB0">
              <w:rPr>
                <w:rFonts w:ascii="Times New Roman" w:eastAsia="Times New Roman" w:hAnsi="Times New Roman" w:cs="Times New Roman"/>
                <w:sz w:val="20"/>
                <w:szCs w:val="20"/>
                <w:lang w:eastAsia="pt-BR"/>
              </w:rPr>
              <w:t>) a unidade auditada informou que "</w:t>
            </w:r>
            <w:r w:rsidRPr="000A1EB0">
              <w:rPr>
                <w:rFonts w:ascii="Times New Roman" w:eastAsia="Times New Roman" w:hAnsi="Times New Roman" w:cs="Times New Roman"/>
                <w:i/>
                <w:iCs/>
                <w:sz w:val="20"/>
                <w:szCs w:val="20"/>
                <w:lang w:eastAsia="pt-BR"/>
              </w:rPr>
              <w:t>procederá ao levantamento prévio de informações necessárias para que não ocorra erros nos lançamentos de incorporação e outros correlatos"</w:t>
            </w:r>
            <w:r w:rsidRPr="000A1EB0">
              <w:rPr>
                <w:rFonts w:ascii="Times New Roman" w:eastAsia="Times New Roman" w:hAnsi="Times New Roman" w:cs="Times New Roman"/>
                <w:sz w:val="20"/>
                <w:szCs w:val="20"/>
                <w:lang w:eastAsia="pt-BR"/>
              </w:rPr>
              <w:t>.</w:t>
            </w:r>
          </w:p>
          <w:p w14:paraId="5C986138" w14:textId="77777777" w:rsidR="008C4C66" w:rsidRDefault="008C4C66" w:rsidP="00AB174E">
            <w:pPr>
              <w:ind w:firstLine="0"/>
              <w:jc w:val="both"/>
              <w:rPr>
                <w:rFonts w:ascii="Times New Roman" w:eastAsia="Times New Roman" w:hAnsi="Times New Roman" w:cs="Times New Roman"/>
                <w:sz w:val="20"/>
                <w:szCs w:val="20"/>
                <w:lang w:eastAsia="pt-BR"/>
              </w:rPr>
            </w:pPr>
            <w:r w:rsidRPr="008C4C66">
              <w:rPr>
                <w:rFonts w:ascii="Times New Roman" w:eastAsia="Times New Roman" w:hAnsi="Times New Roman" w:cs="Times New Roman"/>
                <w:sz w:val="20"/>
                <w:szCs w:val="20"/>
                <w:lang w:eastAsia="pt-BR"/>
              </w:rPr>
              <w:t>Em consulta ao SIAFI, em 31/01/2026, verificou-se que o imóvel que abriga a SSJ de Pouso Alegre ainda está registrado na UG090059- TRF6</w:t>
            </w:r>
            <w:r>
              <w:rPr>
                <w:rFonts w:ascii="Times New Roman" w:eastAsia="Times New Roman" w:hAnsi="Times New Roman" w:cs="Times New Roman"/>
                <w:sz w:val="20"/>
                <w:szCs w:val="20"/>
                <w:lang w:eastAsia="pt-BR"/>
              </w:rPr>
              <w:t>.</w:t>
            </w:r>
          </w:p>
          <w:p w14:paraId="27915E02" w14:textId="77777777" w:rsidR="00D021F9" w:rsidRPr="007E2728" w:rsidRDefault="00D021F9" w:rsidP="00D021F9">
            <w:pPr>
              <w:ind w:firstLine="0"/>
              <w:jc w:val="both"/>
              <w:rPr>
                <w:rFonts w:ascii="Times New Roman" w:eastAsia="Times New Roman" w:hAnsi="Times New Roman" w:cs="Times New Roman"/>
                <w:sz w:val="20"/>
                <w:szCs w:val="20"/>
                <w:lang w:eastAsia="pt-BR"/>
              </w:rPr>
            </w:pPr>
            <w:r w:rsidRPr="007E2728">
              <w:rPr>
                <w:rFonts w:ascii="Times New Roman" w:eastAsia="Times New Roman" w:hAnsi="Times New Roman" w:cs="Times New Roman"/>
                <w:sz w:val="20"/>
                <w:szCs w:val="20"/>
                <w:lang w:eastAsia="pt-BR"/>
              </w:rPr>
              <w:lastRenderedPageBreak/>
              <w:t>Ressalta-se, contudo, que o processo de migração sistêmica conduzido pela Secretaria de Patrimônio da União tem impactado a possibilidade de registro e atualização das informações patrimoniais nos sistemas corporativos.</w:t>
            </w:r>
          </w:p>
          <w:p w14:paraId="775763D3" w14:textId="0ED043F4" w:rsidR="00D021F9" w:rsidRPr="000A1EB0" w:rsidRDefault="00D021F9" w:rsidP="00D021F9">
            <w:pPr>
              <w:ind w:firstLine="0"/>
              <w:jc w:val="both"/>
              <w:rPr>
                <w:rFonts w:ascii="Times New Roman" w:eastAsia="Times New Roman" w:hAnsi="Times New Roman" w:cs="Times New Roman"/>
                <w:sz w:val="20"/>
                <w:szCs w:val="20"/>
                <w:lang w:eastAsia="pt-BR"/>
              </w:rPr>
            </w:pPr>
            <w:r w:rsidRPr="007E2728">
              <w:rPr>
                <w:rFonts w:ascii="Times New Roman" w:eastAsia="Times New Roman" w:hAnsi="Times New Roman" w:cs="Times New Roman"/>
                <w:sz w:val="20"/>
                <w:szCs w:val="20"/>
                <w:lang w:eastAsia="pt-BR"/>
              </w:rPr>
              <w:t>Diante desse contexto, classifica-se a recomendação como em implementação, considerando que a pendência decorre, em parte, de fatores externos à unidade auditada.</w:t>
            </w:r>
          </w:p>
        </w:tc>
      </w:tr>
      <w:tr w:rsidR="00AB174E" w:rsidRPr="00677E67" w14:paraId="56D7BFCF"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B91FEF8" w14:textId="53B0AA72"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lastRenderedPageBreak/>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4AEF3BD9" w14:textId="76BF7AB8" w:rsidR="00AB174E" w:rsidRPr="000A1EB0" w:rsidRDefault="00D021F9" w:rsidP="00AB174E">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Em implementação</w:t>
            </w:r>
          </w:p>
        </w:tc>
      </w:tr>
      <w:tr w:rsidR="00AB174E" w:rsidRPr="00677E67" w14:paraId="39D86700" w14:textId="77777777" w:rsidTr="00E92166">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7A8E8FA" w14:textId="44C56A3D" w:rsidR="00AB174E"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2024</w:t>
            </w:r>
            <w:r w:rsidRPr="00677E67">
              <w:rPr>
                <w:rFonts w:ascii="Times New Roman" w:eastAsia="Times New Roman" w:hAnsi="Times New Roman" w:cs="Times New Roman"/>
                <w:b/>
                <w:bCs/>
                <w:sz w:val="20"/>
                <w:szCs w:val="20"/>
                <w:lang w:eastAsia="pt-BR"/>
              </w:rPr>
              <w:t xml:space="preserve"> (id.</w:t>
            </w:r>
            <w:r w:rsidRPr="00552F7D">
              <w:t xml:space="preserve"> </w:t>
            </w:r>
            <w:r w:rsidRPr="00B7185F">
              <w:rPr>
                <w:rFonts w:ascii="Times New Roman" w:eastAsia="Times New Roman" w:hAnsi="Times New Roman" w:cs="Times New Roman"/>
                <w:sz w:val="20"/>
                <w:szCs w:val="20"/>
                <w:lang w:eastAsia="pt-BR"/>
              </w:rPr>
              <w:t>1174391</w:t>
            </w:r>
            <w:r w:rsidRPr="00677E67">
              <w:rPr>
                <w:rFonts w:ascii="Times New Roman" w:eastAsia="Times New Roman" w:hAnsi="Times New Roman" w:cs="Times New Roman"/>
                <w:b/>
                <w:bCs/>
                <w:sz w:val="20"/>
                <w:szCs w:val="20"/>
                <w:lang w:eastAsia="pt-BR"/>
              </w:rPr>
              <w:t>)</w:t>
            </w:r>
          </w:p>
          <w:p w14:paraId="0C126C7B" w14:textId="3BA74522" w:rsidR="00AB174E" w:rsidRPr="000A1EB0" w:rsidRDefault="00AB174E" w:rsidP="00AB174E">
            <w:pPr>
              <w:ind w:firstLine="0"/>
              <w:jc w:val="both"/>
              <w:rPr>
                <w:rFonts w:ascii="Times New Roman" w:eastAsia="Times New Roman" w:hAnsi="Times New Roman" w:cs="Times New Roman"/>
                <w:sz w:val="20"/>
                <w:szCs w:val="20"/>
                <w:lang w:eastAsia="pt-BR"/>
              </w:rPr>
            </w:pPr>
            <w:r w:rsidRPr="004E4798">
              <w:rPr>
                <w:rFonts w:ascii="Times New Roman" w:eastAsia="Times New Roman" w:hAnsi="Times New Roman" w:cs="Times New Roman"/>
                <w:b/>
                <w:bCs/>
                <w:sz w:val="20"/>
                <w:szCs w:val="20"/>
                <w:lang w:eastAsia="pt-BR"/>
              </w:rPr>
              <w:t>4.4. Inconsistências nos procedimentos de registro de benfeitorias realizadas em bens imóveis - UG 090013</w:t>
            </w:r>
          </w:p>
        </w:tc>
      </w:tr>
      <w:tr w:rsidR="00AB174E" w:rsidRPr="00677E67" w14:paraId="17D213ED"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EF1255" w14:textId="5E1E8880"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279EF2B7" w14:textId="4F58D854" w:rsidR="00AB174E" w:rsidRPr="00AB174E" w:rsidRDefault="00AB174E" w:rsidP="00AB174E">
            <w:pPr>
              <w:pStyle w:val="PargrafodaLista"/>
              <w:numPr>
                <w:ilvl w:val="0"/>
                <w:numId w:val="25"/>
              </w:numPr>
              <w:tabs>
                <w:tab w:val="left" w:pos="490"/>
              </w:tabs>
              <w:ind w:left="65" w:firstLine="0"/>
              <w:jc w:val="both"/>
              <w:rPr>
                <w:rFonts w:ascii="Times New Roman" w:eastAsia="Times New Roman" w:hAnsi="Times New Roman" w:cs="Times New Roman"/>
                <w:sz w:val="20"/>
                <w:szCs w:val="20"/>
                <w:lang w:eastAsia="pt-BR"/>
              </w:rPr>
            </w:pPr>
            <w:r w:rsidRPr="00AB174E">
              <w:rPr>
                <w:rFonts w:ascii="Times New Roman" w:hAnsi="Times New Roman" w:cs="Times New Roman"/>
                <w:color w:val="000000"/>
                <w:sz w:val="20"/>
                <w:szCs w:val="20"/>
              </w:rPr>
              <w:t>Recomenda</w:t>
            </w:r>
            <w:r w:rsidRPr="00AB174E">
              <w:rPr>
                <w:rFonts w:ascii="Times New Roman" w:eastAsia="Times New Roman" w:hAnsi="Times New Roman" w:cs="Times New Roman"/>
                <w:sz w:val="20"/>
                <w:szCs w:val="20"/>
                <w:lang w:eastAsia="pt-BR"/>
              </w:rPr>
              <w:t xml:space="preserve">-se à SEMAP/SECAM transferir o valor total da obra, registrado na conta na conta 12321.07.00 - Instalações (inscrição genérica IM090013F) para a conta 12321.99.05 - Imóveis a registrar/classificar, até que seja regularizada a situação do imóvel que abriga a SSJ de Uberaba com o devido cadastro no </w:t>
            </w:r>
            <w:proofErr w:type="spellStart"/>
            <w:r w:rsidRPr="00AB174E">
              <w:rPr>
                <w:rFonts w:ascii="Times New Roman" w:eastAsia="Times New Roman" w:hAnsi="Times New Roman" w:cs="Times New Roman"/>
                <w:sz w:val="20"/>
                <w:szCs w:val="20"/>
                <w:lang w:eastAsia="pt-BR"/>
              </w:rPr>
              <w:t>SPIUnet</w:t>
            </w:r>
            <w:proofErr w:type="spellEnd"/>
            <w:r w:rsidRPr="00AB174E">
              <w:rPr>
                <w:rFonts w:ascii="Times New Roman" w:eastAsia="Times New Roman" w:hAnsi="Times New Roman" w:cs="Times New Roman"/>
                <w:sz w:val="20"/>
                <w:szCs w:val="20"/>
                <w:lang w:eastAsia="pt-BR"/>
              </w:rPr>
              <w:t>.</w:t>
            </w:r>
          </w:p>
        </w:tc>
      </w:tr>
      <w:tr w:rsidR="00AB174E" w:rsidRPr="00677E67" w14:paraId="1D52AF29"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CA38081" w14:textId="22F6AC95"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3785A689" w14:textId="59117532" w:rsidR="00AB174E" w:rsidRPr="000A1EB0" w:rsidRDefault="00AB174E" w:rsidP="00AB174E">
            <w:pPr>
              <w:ind w:firstLine="0"/>
              <w:jc w:val="both"/>
              <w:rPr>
                <w:rFonts w:ascii="Times New Roman" w:eastAsia="Times New Roman" w:hAnsi="Times New Roman" w:cs="Times New Roman"/>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AB174E" w:rsidRPr="00677E67" w14:paraId="01818711"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BC6A86D" w14:textId="6EC8381D"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0F3864D9" w14:textId="089621F8" w:rsidR="00AB174E" w:rsidRPr="000A1EB0" w:rsidRDefault="0081422A" w:rsidP="00AB174E">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Plano </w:t>
            </w:r>
            <w:r w:rsidRPr="006F1331">
              <w:rPr>
                <w:rFonts w:ascii="Times New Roman" w:eastAsia="Times New Roman" w:hAnsi="Times New Roman" w:cs="Times New Roman"/>
                <w:sz w:val="20"/>
                <w:szCs w:val="20"/>
                <w:lang w:eastAsia="pt-BR"/>
              </w:rPr>
              <w:t>de ação</w:t>
            </w:r>
            <w:r>
              <w:rPr>
                <w:rFonts w:ascii="Times New Roman" w:eastAsia="Times New Roman" w:hAnsi="Times New Roman" w:cs="Times New Roman"/>
                <w:sz w:val="20"/>
                <w:szCs w:val="20"/>
                <w:lang w:eastAsia="pt-BR"/>
              </w:rPr>
              <w:t xml:space="preserve"> SEMAP</w:t>
            </w:r>
            <w:r w:rsidRPr="006F1331">
              <w:rPr>
                <w:rFonts w:ascii="Times New Roman" w:eastAsia="Times New Roman" w:hAnsi="Times New Roman" w:cs="Times New Roman"/>
                <w:sz w:val="20"/>
                <w:szCs w:val="20"/>
                <w:lang w:eastAsia="pt-BR"/>
              </w:rPr>
              <w:t xml:space="preserve"> (id. </w:t>
            </w:r>
            <w:r w:rsidRPr="00B7185F">
              <w:rPr>
                <w:rFonts w:ascii="Times New Roman" w:eastAsia="Times New Roman" w:hAnsi="Times New Roman" w:cs="Times New Roman"/>
                <w:sz w:val="20"/>
                <w:szCs w:val="20"/>
                <w:lang w:eastAsia="pt-BR"/>
              </w:rPr>
              <w:t>1169166</w:t>
            </w:r>
            <w:r w:rsidRPr="006F1331">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w:t>
            </w:r>
            <w:r w:rsidRPr="0081422A">
              <w:rPr>
                <w:rFonts w:ascii="Times New Roman" w:eastAsia="Times New Roman" w:hAnsi="Times New Roman" w:cs="Times New Roman"/>
                <w:sz w:val="20"/>
                <w:szCs w:val="20"/>
                <w:lang w:eastAsia="pt-BR"/>
              </w:rPr>
              <w:t>A SEMAP promoverá a transferência solicitada de modo a se corrigir as inconsistências de sistema</w:t>
            </w:r>
            <w:r>
              <w:rPr>
                <w:rFonts w:ascii="Times New Roman" w:eastAsia="Times New Roman" w:hAnsi="Times New Roman" w:cs="Times New Roman"/>
                <w:sz w:val="20"/>
                <w:szCs w:val="20"/>
                <w:lang w:eastAsia="pt-BR"/>
              </w:rPr>
              <w:t>”</w:t>
            </w:r>
            <w:r w:rsidRPr="0081422A">
              <w:rPr>
                <w:rFonts w:ascii="Times New Roman" w:eastAsia="Times New Roman" w:hAnsi="Times New Roman" w:cs="Times New Roman"/>
                <w:sz w:val="20"/>
                <w:szCs w:val="20"/>
                <w:lang w:eastAsia="pt-BR"/>
              </w:rPr>
              <w:t>.</w:t>
            </w:r>
          </w:p>
        </w:tc>
      </w:tr>
      <w:tr w:rsidR="00AB174E" w:rsidRPr="00677E67" w14:paraId="6E25DBF6"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591CE6B" w14:textId="75465A0C"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45A88C94" w14:textId="194D420E" w:rsidR="00AB174E" w:rsidRPr="000A1EB0" w:rsidRDefault="00BA5294" w:rsidP="00AB174E">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Em consulta ao SIAFI, verificou-se que a inconsistência foi regularizada pela SECOB em </w:t>
            </w:r>
            <w:r w:rsidR="00286181" w:rsidRPr="00286181">
              <w:rPr>
                <w:rFonts w:ascii="Times New Roman" w:eastAsia="Times New Roman" w:hAnsi="Times New Roman" w:cs="Times New Roman"/>
                <w:sz w:val="20"/>
                <w:szCs w:val="20"/>
                <w:lang w:eastAsia="pt-BR"/>
              </w:rPr>
              <w:t>22/07/2025, conforme 2025NL00006 (id.</w:t>
            </w:r>
            <w:r w:rsidR="00286181" w:rsidRPr="00B7185F">
              <w:rPr>
                <w:rFonts w:ascii="Times New Roman" w:eastAsia="Times New Roman" w:hAnsi="Times New Roman" w:cs="Times New Roman"/>
                <w:sz w:val="20"/>
                <w:szCs w:val="20"/>
                <w:lang w:eastAsia="pt-BR"/>
              </w:rPr>
              <w:t>1465604</w:t>
            </w:r>
            <w:r w:rsidR="00286181" w:rsidRPr="00286181">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w:t>
            </w:r>
          </w:p>
        </w:tc>
      </w:tr>
      <w:tr w:rsidR="00AB174E" w:rsidRPr="00677E67" w14:paraId="5F30D70B"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314D0F3" w14:textId="3B87C8EE"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70A0AD9A" w14:textId="47C70EF7" w:rsidR="00AB174E" w:rsidRPr="000A1EB0" w:rsidRDefault="00286181" w:rsidP="00AB174E">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Implementada</w:t>
            </w:r>
          </w:p>
        </w:tc>
      </w:tr>
      <w:tr w:rsidR="00AB174E" w:rsidRPr="00677E67" w14:paraId="30592391" w14:textId="77777777" w:rsidTr="007A2687">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0E77845" w14:textId="48529DCC" w:rsidR="00AB174E"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2024</w:t>
            </w:r>
            <w:r w:rsidRPr="00677E67">
              <w:rPr>
                <w:rFonts w:ascii="Times New Roman" w:eastAsia="Times New Roman" w:hAnsi="Times New Roman" w:cs="Times New Roman"/>
                <w:b/>
                <w:bCs/>
                <w:sz w:val="20"/>
                <w:szCs w:val="20"/>
                <w:lang w:eastAsia="pt-BR"/>
              </w:rPr>
              <w:t xml:space="preserve"> (id.</w:t>
            </w:r>
            <w:r w:rsidRPr="00552F7D">
              <w:t xml:space="preserve"> </w:t>
            </w:r>
            <w:r w:rsidRPr="00B7185F">
              <w:rPr>
                <w:rFonts w:ascii="Times New Roman" w:eastAsia="Times New Roman" w:hAnsi="Times New Roman" w:cs="Times New Roman"/>
                <w:sz w:val="20"/>
                <w:szCs w:val="20"/>
                <w:lang w:eastAsia="pt-BR"/>
              </w:rPr>
              <w:t>1174391</w:t>
            </w:r>
            <w:r w:rsidRPr="00677E67">
              <w:rPr>
                <w:rFonts w:ascii="Times New Roman" w:eastAsia="Times New Roman" w:hAnsi="Times New Roman" w:cs="Times New Roman"/>
                <w:b/>
                <w:bCs/>
                <w:sz w:val="20"/>
                <w:szCs w:val="20"/>
                <w:lang w:eastAsia="pt-BR"/>
              </w:rPr>
              <w:t>)</w:t>
            </w:r>
          </w:p>
          <w:p w14:paraId="2B1DC69C" w14:textId="16846B07" w:rsidR="00AB174E" w:rsidRPr="000A1EB0" w:rsidRDefault="00AB174E" w:rsidP="00AB174E">
            <w:pPr>
              <w:ind w:firstLine="0"/>
              <w:jc w:val="both"/>
              <w:rPr>
                <w:rFonts w:ascii="Times New Roman" w:eastAsia="Times New Roman" w:hAnsi="Times New Roman" w:cs="Times New Roman"/>
                <w:sz w:val="20"/>
                <w:szCs w:val="20"/>
                <w:lang w:eastAsia="pt-BR"/>
              </w:rPr>
            </w:pPr>
            <w:r w:rsidRPr="00643B38">
              <w:rPr>
                <w:rFonts w:ascii="Times New Roman" w:eastAsia="Times New Roman" w:hAnsi="Times New Roman" w:cs="Times New Roman"/>
                <w:b/>
                <w:bCs/>
                <w:sz w:val="20"/>
                <w:szCs w:val="20"/>
                <w:lang w:eastAsia="pt-BR"/>
              </w:rPr>
              <w:t>4.5. Inconsistências nos procedimentos de registro de benfeitorias realizadas em bens imóveis - UG 090059</w:t>
            </w:r>
          </w:p>
        </w:tc>
      </w:tr>
      <w:tr w:rsidR="00AB174E" w:rsidRPr="00677E67" w14:paraId="30D1DFB7"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D379E49" w14:textId="0B6E972E" w:rsidR="00AB174E" w:rsidRPr="00677E67" w:rsidRDefault="00AB174E" w:rsidP="00AB174E">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55F8EB90" w14:textId="77777777" w:rsidR="00AB174E" w:rsidRPr="00AB174E" w:rsidRDefault="00AB174E" w:rsidP="001959E0">
            <w:pPr>
              <w:numPr>
                <w:ilvl w:val="0"/>
                <w:numId w:val="46"/>
              </w:numPr>
              <w:tabs>
                <w:tab w:val="clear" w:pos="720"/>
                <w:tab w:val="left" w:pos="484"/>
              </w:tabs>
              <w:ind w:left="66" w:firstLine="0"/>
              <w:jc w:val="both"/>
              <w:rPr>
                <w:rFonts w:ascii="Times New Roman" w:hAnsi="Times New Roman" w:cs="Times New Roman"/>
                <w:color w:val="000000"/>
                <w:sz w:val="20"/>
                <w:szCs w:val="20"/>
              </w:rPr>
            </w:pPr>
            <w:r w:rsidRPr="00AB174E">
              <w:rPr>
                <w:rFonts w:ascii="Times New Roman" w:hAnsi="Times New Roman" w:cs="Times New Roman"/>
                <w:color w:val="000000"/>
                <w:sz w:val="20"/>
                <w:szCs w:val="20"/>
              </w:rPr>
              <w:t>Recomenda-se à SEMAP/SECAM realizar a desincorporação do valor de R$ 456.307,60, executado na UG 090059, e a incorporação do mesmo valor na UG 090013, a fim de que seja demonstrado o valor total da obra na UG onde está registrado o Edifício Euclydes Reis Aguiar.</w:t>
            </w:r>
          </w:p>
          <w:p w14:paraId="09C0498A" w14:textId="18F7FE80" w:rsidR="00AB174E" w:rsidRPr="001959E0" w:rsidRDefault="00AB174E" w:rsidP="00AB174E">
            <w:pPr>
              <w:numPr>
                <w:ilvl w:val="0"/>
                <w:numId w:val="46"/>
              </w:numPr>
              <w:tabs>
                <w:tab w:val="clear" w:pos="720"/>
                <w:tab w:val="left" w:pos="484"/>
              </w:tabs>
              <w:ind w:left="66" w:firstLine="0"/>
              <w:jc w:val="both"/>
              <w:rPr>
                <w:rFonts w:ascii="Times New Roman" w:hAnsi="Times New Roman" w:cs="Times New Roman"/>
                <w:color w:val="000000"/>
                <w:sz w:val="20"/>
                <w:szCs w:val="20"/>
              </w:rPr>
            </w:pPr>
            <w:r w:rsidRPr="00AB174E">
              <w:rPr>
                <w:rFonts w:ascii="Times New Roman" w:hAnsi="Times New Roman" w:cs="Times New Roman"/>
                <w:color w:val="000000"/>
                <w:sz w:val="20"/>
                <w:szCs w:val="20"/>
              </w:rPr>
              <w:t>Recomenda-se à SEMAP/SECAM realizar o acompanhamento da execução da despesa relativa à obra de reforma destinada à instalação do plenário do TRF6 para que, caso haja valor executado na UG 090059, este seja transferido para a UG 090013.</w:t>
            </w:r>
          </w:p>
        </w:tc>
      </w:tr>
      <w:tr w:rsidR="00C51CD7" w:rsidRPr="00677E67" w14:paraId="798F609D"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91479F2" w14:textId="252B266B" w:rsidR="00C51CD7" w:rsidRPr="00677E6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6197045D" w14:textId="36A10BB9" w:rsidR="00C51CD7" w:rsidRPr="000A1EB0" w:rsidRDefault="00C51CD7" w:rsidP="00C51CD7">
            <w:pPr>
              <w:ind w:firstLine="0"/>
              <w:jc w:val="both"/>
              <w:rPr>
                <w:rFonts w:ascii="Times New Roman" w:eastAsia="Times New Roman" w:hAnsi="Times New Roman" w:cs="Times New Roman"/>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C51CD7" w:rsidRPr="00677E67" w14:paraId="3B592A33"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DDDB0C7" w14:textId="4F3CDABA" w:rsidR="00C51CD7" w:rsidRPr="00677E6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5CD39071" w14:textId="54718D87" w:rsidR="00C51CD7" w:rsidRPr="000A1EB0" w:rsidRDefault="00DF49C6" w:rsidP="00C51CD7">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Plano </w:t>
            </w:r>
            <w:r w:rsidRPr="006F1331">
              <w:rPr>
                <w:rFonts w:ascii="Times New Roman" w:eastAsia="Times New Roman" w:hAnsi="Times New Roman" w:cs="Times New Roman"/>
                <w:sz w:val="20"/>
                <w:szCs w:val="20"/>
                <w:lang w:eastAsia="pt-BR"/>
              </w:rPr>
              <w:t>de ação</w:t>
            </w:r>
            <w:r>
              <w:rPr>
                <w:rFonts w:ascii="Times New Roman" w:eastAsia="Times New Roman" w:hAnsi="Times New Roman" w:cs="Times New Roman"/>
                <w:sz w:val="20"/>
                <w:szCs w:val="20"/>
                <w:lang w:eastAsia="pt-BR"/>
              </w:rPr>
              <w:t xml:space="preserve"> SEMAP</w:t>
            </w:r>
            <w:r w:rsidRPr="006F1331">
              <w:rPr>
                <w:rFonts w:ascii="Times New Roman" w:eastAsia="Times New Roman" w:hAnsi="Times New Roman" w:cs="Times New Roman"/>
                <w:sz w:val="20"/>
                <w:szCs w:val="20"/>
                <w:lang w:eastAsia="pt-BR"/>
              </w:rPr>
              <w:t xml:space="preserve"> (id. </w:t>
            </w:r>
            <w:r w:rsidRPr="00B7185F">
              <w:rPr>
                <w:rFonts w:ascii="Times New Roman" w:eastAsia="Times New Roman" w:hAnsi="Times New Roman" w:cs="Times New Roman"/>
                <w:sz w:val="20"/>
                <w:szCs w:val="20"/>
                <w:lang w:eastAsia="pt-BR"/>
              </w:rPr>
              <w:t>1169166</w:t>
            </w:r>
            <w:r w:rsidRPr="006F1331">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w:t>
            </w:r>
            <w:r w:rsidRPr="00DF49C6">
              <w:rPr>
                <w:rFonts w:ascii="Times New Roman" w:eastAsia="Times New Roman" w:hAnsi="Times New Roman" w:cs="Times New Roman"/>
                <w:sz w:val="20"/>
                <w:szCs w:val="20"/>
                <w:lang w:eastAsia="pt-BR"/>
              </w:rPr>
              <w:t>A SEMAP promoverá a transferência solicitada de modo a se corrigir as inconsistências de sistema</w:t>
            </w:r>
            <w:r>
              <w:rPr>
                <w:rFonts w:ascii="Times New Roman" w:eastAsia="Times New Roman" w:hAnsi="Times New Roman" w:cs="Times New Roman"/>
                <w:sz w:val="20"/>
                <w:szCs w:val="20"/>
                <w:lang w:eastAsia="pt-BR"/>
              </w:rPr>
              <w:t xml:space="preserve">. </w:t>
            </w:r>
            <w:r w:rsidRPr="00DF49C6">
              <w:rPr>
                <w:rFonts w:ascii="Times New Roman" w:eastAsia="Times New Roman" w:hAnsi="Times New Roman" w:cs="Times New Roman"/>
                <w:sz w:val="20"/>
                <w:szCs w:val="20"/>
                <w:lang w:eastAsia="pt-BR"/>
              </w:rPr>
              <w:t xml:space="preserve">A SEMAP fará o acompanhamento da obra e procederá à transferência de valores entre as </w:t>
            </w:r>
            <w:proofErr w:type="spellStart"/>
            <w:r w:rsidRPr="00DF49C6">
              <w:rPr>
                <w:rFonts w:ascii="Times New Roman" w:eastAsia="Times New Roman" w:hAnsi="Times New Roman" w:cs="Times New Roman"/>
                <w:sz w:val="20"/>
                <w:szCs w:val="20"/>
                <w:lang w:eastAsia="pt-BR"/>
              </w:rPr>
              <w:t>UG’s</w:t>
            </w:r>
            <w:proofErr w:type="spellEnd"/>
            <w:r w:rsidRPr="00DF49C6">
              <w:rPr>
                <w:rFonts w:ascii="Times New Roman" w:eastAsia="Times New Roman" w:hAnsi="Times New Roman" w:cs="Times New Roman"/>
                <w:sz w:val="20"/>
                <w:szCs w:val="20"/>
                <w:lang w:eastAsia="pt-BR"/>
              </w:rPr>
              <w:t xml:space="preserve"> conforme solicitado</w:t>
            </w:r>
            <w:r>
              <w:rPr>
                <w:rFonts w:ascii="Times New Roman" w:eastAsia="Times New Roman" w:hAnsi="Times New Roman" w:cs="Times New Roman"/>
                <w:sz w:val="20"/>
                <w:szCs w:val="20"/>
                <w:lang w:eastAsia="pt-BR"/>
              </w:rPr>
              <w:t>”.</w:t>
            </w:r>
          </w:p>
        </w:tc>
      </w:tr>
      <w:tr w:rsidR="00C51CD7" w:rsidRPr="00677E67" w14:paraId="605DCF78"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82536E4" w14:textId="322CD926" w:rsidR="00C51CD7" w:rsidRPr="00677E6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56B7B313" w14:textId="24E53858" w:rsidR="00C51CD7" w:rsidRPr="000A1EB0" w:rsidRDefault="00E07997" w:rsidP="00C51CD7">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Em consulta ao SIAFI, verificou-se que a inconsistência foi regularizada </w:t>
            </w:r>
            <w:r w:rsidRPr="00E07997">
              <w:rPr>
                <w:rFonts w:ascii="Times New Roman" w:eastAsia="Times New Roman" w:hAnsi="Times New Roman" w:cs="Times New Roman"/>
                <w:sz w:val="20"/>
                <w:szCs w:val="20"/>
                <w:lang w:eastAsia="pt-BR"/>
              </w:rPr>
              <w:t>S</w:t>
            </w:r>
            <w:r>
              <w:rPr>
                <w:rFonts w:ascii="Times New Roman" w:eastAsia="Times New Roman" w:hAnsi="Times New Roman" w:cs="Times New Roman"/>
                <w:sz w:val="20"/>
                <w:szCs w:val="20"/>
                <w:lang w:eastAsia="pt-BR"/>
              </w:rPr>
              <w:t>EMAP</w:t>
            </w:r>
            <w:r w:rsidRPr="00E07997">
              <w:rPr>
                <w:rFonts w:ascii="Times New Roman" w:eastAsia="Times New Roman" w:hAnsi="Times New Roman" w:cs="Times New Roman"/>
                <w:sz w:val="20"/>
                <w:szCs w:val="20"/>
                <w:lang w:eastAsia="pt-BR"/>
              </w:rPr>
              <w:t xml:space="preserve"> em 23/07/2025, conforme 2025NS003983 (id.</w:t>
            </w:r>
            <w:r w:rsidR="00B7185F">
              <w:rPr>
                <w:rFonts w:ascii="Times New Roman" w:eastAsia="Times New Roman" w:hAnsi="Times New Roman" w:cs="Times New Roman"/>
                <w:sz w:val="20"/>
                <w:szCs w:val="20"/>
                <w:lang w:eastAsia="pt-BR"/>
              </w:rPr>
              <w:t xml:space="preserve"> </w:t>
            </w:r>
            <w:r w:rsidRPr="00B7185F">
              <w:rPr>
                <w:rFonts w:ascii="Times New Roman" w:eastAsia="Times New Roman" w:hAnsi="Times New Roman" w:cs="Times New Roman"/>
                <w:sz w:val="20"/>
                <w:szCs w:val="20"/>
                <w:lang w:eastAsia="pt-BR"/>
              </w:rPr>
              <w:t>1465673</w:t>
            </w:r>
            <w:r w:rsidRPr="00E07997">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w:t>
            </w:r>
          </w:p>
        </w:tc>
      </w:tr>
      <w:tr w:rsidR="00C51CD7" w:rsidRPr="00677E67" w14:paraId="69843CC5"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D2B271D" w14:textId="163AD64B" w:rsidR="00C51CD7" w:rsidRPr="00677E6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6B885DD2" w14:textId="553D40B6" w:rsidR="00C51CD7" w:rsidRPr="000A1EB0" w:rsidRDefault="00DF49C6" w:rsidP="00C51CD7">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Implementada</w:t>
            </w:r>
          </w:p>
        </w:tc>
      </w:tr>
      <w:tr w:rsidR="00C51CD7" w:rsidRPr="00677E67" w14:paraId="5D5EBE8C" w14:textId="77777777" w:rsidTr="00065FBC">
        <w:trPr>
          <w:trHeight w:val="286"/>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1A86629" w14:textId="45BC13C2" w:rsidR="00C51CD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 xml:space="preserve">Relatório Final de Auditoria </w:t>
            </w:r>
            <w:r w:rsidRPr="00511268">
              <w:rPr>
                <w:rFonts w:ascii="Times New Roman" w:eastAsia="Times New Roman" w:hAnsi="Times New Roman" w:cs="Times New Roman"/>
                <w:b/>
                <w:bCs/>
                <w:sz w:val="20"/>
                <w:szCs w:val="20"/>
                <w:u w:val="single"/>
                <w:lang w:eastAsia="pt-BR"/>
              </w:rPr>
              <w:t>2024</w:t>
            </w:r>
            <w:r w:rsidRPr="00677E67">
              <w:rPr>
                <w:rFonts w:ascii="Times New Roman" w:eastAsia="Times New Roman" w:hAnsi="Times New Roman" w:cs="Times New Roman"/>
                <w:b/>
                <w:bCs/>
                <w:sz w:val="20"/>
                <w:szCs w:val="20"/>
                <w:lang w:eastAsia="pt-BR"/>
              </w:rPr>
              <w:t xml:space="preserve"> (id.</w:t>
            </w:r>
            <w:r w:rsidRPr="00552F7D">
              <w:t xml:space="preserve"> </w:t>
            </w:r>
            <w:r w:rsidRPr="00B7185F">
              <w:rPr>
                <w:rFonts w:ascii="Times New Roman" w:eastAsia="Times New Roman" w:hAnsi="Times New Roman" w:cs="Times New Roman"/>
                <w:sz w:val="20"/>
                <w:szCs w:val="20"/>
                <w:lang w:eastAsia="pt-BR"/>
              </w:rPr>
              <w:t>1174391</w:t>
            </w:r>
            <w:r w:rsidRPr="00677E67">
              <w:rPr>
                <w:rFonts w:ascii="Times New Roman" w:eastAsia="Times New Roman" w:hAnsi="Times New Roman" w:cs="Times New Roman"/>
                <w:b/>
                <w:bCs/>
                <w:sz w:val="20"/>
                <w:szCs w:val="20"/>
                <w:lang w:eastAsia="pt-BR"/>
              </w:rPr>
              <w:t>)</w:t>
            </w:r>
          </w:p>
          <w:p w14:paraId="18D27853" w14:textId="4845F54E" w:rsidR="00C51CD7" w:rsidRPr="000A1EB0" w:rsidRDefault="00C51CD7" w:rsidP="00C51CD7">
            <w:pPr>
              <w:ind w:firstLine="0"/>
              <w:jc w:val="both"/>
              <w:rPr>
                <w:rFonts w:ascii="Times New Roman" w:eastAsia="Times New Roman" w:hAnsi="Times New Roman" w:cs="Times New Roman"/>
                <w:sz w:val="20"/>
                <w:szCs w:val="20"/>
                <w:lang w:eastAsia="pt-BR"/>
              </w:rPr>
            </w:pPr>
            <w:r w:rsidRPr="00EA3130">
              <w:rPr>
                <w:rFonts w:ascii="Times New Roman" w:eastAsia="Times New Roman" w:hAnsi="Times New Roman" w:cs="Times New Roman"/>
                <w:b/>
                <w:bCs/>
                <w:sz w:val="20"/>
                <w:szCs w:val="20"/>
                <w:lang w:eastAsia="pt-BR"/>
              </w:rPr>
              <w:t xml:space="preserve">4.6. Inconsistência na incorporação patrimonial de Equipamentos de TIC entre as </w:t>
            </w:r>
            <w:proofErr w:type="spellStart"/>
            <w:r w:rsidRPr="00EA3130">
              <w:rPr>
                <w:rFonts w:ascii="Times New Roman" w:eastAsia="Times New Roman" w:hAnsi="Times New Roman" w:cs="Times New Roman"/>
                <w:b/>
                <w:bCs/>
                <w:sz w:val="20"/>
                <w:szCs w:val="20"/>
                <w:lang w:eastAsia="pt-BR"/>
              </w:rPr>
              <w:t>UGs</w:t>
            </w:r>
            <w:proofErr w:type="spellEnd"/>
            <w:r w:rsidRPr="00EA3130">
              <w:rPr>
                <w:rFonts w:ascii="Times New Roman" w:eastAsia="Times New Roman" w:hAnsi="Times New Roman" w:cs="Times New Roman"/>
                <w:b/>
                <w:bCs/>
                <w:sz w:val="20"/>
                <w:szCs w:val="20"/>
                <w:lang w:eastAsia="pt-BR"/>
              </w:rPr>
              <w:t xml:space="preserve"> do Tribunal e da Seção Judiciária</w:t>
            </w:r>
          </w:p>
        </w:tc>
      </w:tr>
      <w:tr w:rsidR="00C51CD7" w:rsidRPr="00677E67" w14:paraId="4FDC1668"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EFE5A7" w14:textId="688B6B2B" w:rsidR="00C51CD7" w:rsidRPr="00677E6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574A1387" w14:textId="6CD3A185" w:rsidR="00C51CD7" w:rsidRPr="00C51CD7" w:rsidRDefault="00C51CD7" w:rsidP="00C51CD7">
            <w:pPr>
              <w:pStyle w:val="PargrafodaLista"/>
              <w:numPr>
                <w:ilvl w:val="0"/>
                <w:numId w:val="25"/>
              </w:numPr>
              <w:tabs>
                <w:tab w:val="left" w:pos="439"/>
              </w:tabs>
              <w:ind w:left="68" w:firstLine="57"/>
              <w:jc w:val="both"/>
              <w:rPr>
                <w:rFonts w:ascii="Times New Roman" w:hAnsi="Times New Roman" w:cs="Times New Roman"/>
                <w:color w:val="000000"/>
                <w:sz w:val="20"/>
                <w:szCs w:val="20"/>
              </w:rPr>
            </w:pPr>
            <w:r w:rsidRPr="00C51CD7">
              <w:rPr>
                <w:rFonts w:ascii="Times New Roman" w:hAnsi="Times New Roman" w:cs="Times New Roman"/>
                <w:color w:val="000000"/>
                <w:sz w:val="20"/>
                <w:szCs w:val="20"/>
              </w:rPr>
              <w:t>Recomenda-se à SEMAP/SECAM adotar as medidas necessárias para a transferência dos valores dos bens permanentes e dos intangíveis distribuídos às Subseções Judiciárias para o patrimônio da SJMG (UG090013), assegurando-se que cada UG reflita adequadamente sua situação patrimonial.</w:t>
            </w:r>
          </w:p>
        </w:tc>
      </w:tr>
      <w:tr w:rsidR="00C51CD7" w:rsidRPr="00677E67" w14:paraId="0C02A21D"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50E9ECC" w14:textId="03082EDD" w:rsidR="00C51CD7" w:rsidRPr="00677E6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Unidade Responsável</w:t>
            </w:r>
          </w:p>
        </w:tc>
        <w:tc>
          <w:tcPr>
            <w:tcW w:w="6800" w:type="dxa"/>
            <w:tcBorders>
              <w:top w:val="single" w:sz="4" w:space="0" w:color="auto"/>
              <w:left w:val="single" w:sz="4" w:space="0" w:color="auto"/>
              <w:bottom w:val="single" w:sz="4" w:space="0" w:color="auto"/>
              <w:right w:val="single" w:sz="4" w:space="0" w:color="auto"/>
            </w:tcBorders>
            <w:vAlign w:val="center"/>
          </w:tcPr>
          <w:p w14:paraId="1CEEB0D5" w14:textId="287D1E8C" w:rsidR="00C51CD7" w:rsidRPr="000A1EB0" w:rsidRDefault="00C51CD7" w:rsidP="00C51CD7">
            <w:pPr>
              <w:ind w:firstLine="0"/>
              <w:jc w:val="both"/>
              <w:rPr>
                <w:rFonts w:ascii="Times New Roman" w:eastAsia="Times New Roman" w:hAnsi="Times New Roman" w:cs="Times New Roman"/>
                <w:sz w:val="20"/>
                <w:szCs w:val="20"/>
                <w:lang w:eastAsia="pt-BR"/>
              </w:rPr>
            </w:pPr>
            <w:r w:rsidRPr="00677E67">
              <w:rPr>
                <w:rFonts w:ascii="Times New Roman" w:eastAsia="Times New Roman" w:hAnsi="Times New Roman" w:cs="Times New Roman"/>
                <w:sz w:val="20"/>
                <w:szCs w:val="20"/>
                <w:lang w:eastAsia="pt-BR"/>
              </w:rPr>
              <w:t>Seção de Administração de Material e Patrimônio – SEMAP/SECAM</w:t>
            </w:r>
          </w:p>
        </w:tc>
      </w:tr>
      <w:tr w:rsidR="00C51CD7" w:rsidRPr="00677E67" w14:paraId="3F2634B5"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3F2A1FD" w14:textId="6522B0DA" w:rsidR="00C51CD7" w:rsidRPr="00677E6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Manifestação da área auditada</w:t>
            </w:r>
          </w:p>
        </w:tc>
        <w:tc>
          <w:tcPr>
            <w:tcW w:w="6800" w:type="dxa"/>
            <w:tcBorders>
              <w:top w:val="single" w:sz="4" w:space="0" w:color="auto"/>
              <w:left w:val="single" w:sz="4" w:space="0" w:color="auto"/>
              <w:bottom w:val="single" w:sz="4" w:space="0" w:color="auto"/>
              <w:right w:val="single" w:sz="4" w:space="0" w:color="auto"/>
            </w:tcBorders>
            <w:vAlign w:val="center"/>
          </w:tcPr>
          <w:p w14:paraId="4751DB75" w14:textId="7A5E1879" w:rsidR="00C51CD7" w:rsidRDefault="00FD55FC" w:rsidP="00C51CD7">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Plano </w:t>
            </w:r>
            <w:r w:rsidRPr="006F1331">
              <w:rPr>
                <w:rFonts w:ascii="Times New Roman" w:eastAsia="Times New Roman" w:hAnsi="Times New Roman" w:cs="Times New Roman"/>
                <w:sz w:val="20"/>
                <w:szCs w:val="20"/>
                <w:lang w:eastAsia="pt-BR"/>
              </w:rPr>
              <w:t>de ação</w:t>
            </w:r>
            <w:r>
              <w:rPr>
                <w:rFonts w:ascii="Times New Roman" w:eastAsia="Times New Roman" w:hAnsi="Times New Roman" w:cs="Times New Roman"/>
                <w:sz w:val="20"/>
                <w:szCs w:val="20"/>
                <w:lang w:eastAsia="pt-BR"/>
              </w:rPr>
              <w:t xml:space="preserve"> SEMAP</w:t>
            </w:r>
            <w:r w:rsidRPr="006F1331">
              <w:rPr>
                <w:rFonts w:ascii="Times New Roman" w:eastAsia="Times New Roman" w:hAnsi="Times New Roman" w:cs="Times New Roman"/>
                <w:sz w:val="20"/>
                <w:szCs w:val="20"/>
                <w:lang w:eastAsia="pt-BR"/>
              </w:rPr>
              <w:t xml:space="preserve"> (id. </w:t>
            </w:r>
            <w:r w:rsidRPr="00B7185F">
              <w:rPr>
                <w:rFonts w:ascii="Times New Roman" w:eastAsia="Times New Roman" w:hAnsi="Times New Roman" w:cs="Times New Roman"/>
                <w:sz w:val="20"/>
                <w:szCs w:val="20"/>
                <w:lang w:eastAsia="pt-BR"/>
              </w:rPr>
              <w:t>1169166</w:t>
            </w:r>
            <w:r w:rsidRPr="006F1331">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w:t>
            </w:r>
            <w:r w:rsidRPr="00FD55FC">
              <w:rPr>
                <w:rFonts w:ascii="Times New Roman" w:eastAsia="Times New Roman" w:hAnsi="Times New Roman" w:cs="Times New Roman"/>
                <w:sz w:val="20"/>
                <w:szCs w:val="20"/>
                <w:lang w:eastAsia="pt-BR"/>
              </w:rPr>
              <w:t>A SEMAP procederá aos lançamentos necessários para correção das inconsistências apontadas</w:t>
            </w:r>
            <w:r>
              <w:rPr>
                <w:rFonts w:ascii="Times New Roman" w:eastAsia="Times New Roman" w:hAnsi="Times New Roman" w:cs="Times New Roman"/>
                <w:sz w:val="20"/>
                <w:szCs w:val="20"/>
                <w:lang w:eastAsia="pt-BR"/>
              </w:rPr>
              <w:t>”.</w:t>
            </w:r>
          </w:p>
          <w:p w14:paraId="390DFB33" w14:textId="316BBCFD" w:rsidR="00C712C8" w:rsidRDefault="00C712C8" w:rsidP="00C51CD7">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Informação SECOB (id. </w:t>
            </w:r>
            <w:r w:rsidRPr="00C712C8">
              <w:rPr>
                <w:rFonts w:ascii="Times New Roman" w:eastAsia="Times New Roman" w:hAnsi="Times New Roman" w:cs="Times New Roman"/>
                <w:sz w:val="20"/>
                <w:szCs w:val="20"/>
                <w:lang w:eastAsia="pt-BR"/>
              </w:rPr>
              <w:t>1522900</w:t>
            </w:r>
            <w:r>
              <w:rPr>
                <w:rFonts w:ascii="Times New Roman" w:eastAsia="Times New Roman" w:hAnsi="Times New Roman" w:cs="Times New Roman"/>
                <w:sz w:val="20"/>
                <w:szCs w:val="20"/>
                <w:lang w:eastAsia="pt-BR"/>
              </w:rPr>
              <w:t>): “</w:t>
            </w:r>
            <w:r w:rsidRPr="00C712C8">
              <w:rPr>
                <w:rFonts w:ascii="Times New Roman" w:eastAsia="Times New Roman" w:hAnsi="Times New Roman" w:cs="Times New Roman"/>
                <w:sz w:val="20"/>
                <w:szCs w:val="20"/>
                <w:lang w:eastAsia="pt-BR"/>
              </w:rPr>
              <w:t>Informo que foi realizada a Solicitação </w:t>
            </w:r>
            <w:r w:rsidRPr="00B7185F">
              <w:rPr>
                <w:rFonts w:ascii="Times New Roman" w:eastAsia="Times New Roman" w:hAnsi="Times New Roman" w:cs="Times New Roman"/>
                <w:sz w:val="20"/>
                <w:szCs w:val="20"/>
                <w:lang w:eastAsia="pt-BR"/>
              </w:rPr>
              <w:t>1522868</w:t>
            </w:r>
            <w:r w:rsidRPr="00C712C8">
              <w:rPr>
                <w:rFonts w:ascii="Times New Roman" w:eastAsia="Times New Roman" w:hAnsi="Times New Roman" w:cs="Times New Roman"/>
                <w:sz w:val="20"/>
                <w:szCs w:val="20"/>
                <w:lang w:eastAsia="pt-BR"/>
              </w:rPr>
              <w:t> à SUINF solicitando a informação sobre quais equipamentos estão destinados a atender à Subseção Judiciária de Belo Horizonte, para a correta desincorporação d</w:t>
            </w:r>
            <w:r w:rsidR="0042316B">
              <w:rPr>
                <w:rFonts w:ascii="Times New Roman" w:eastAsia="Times New Roman" w:hAnsi="Times New Roman" w:cs="Times New Roman"/>
                <w:sz w:val="20"/>
                <w:szCs w:val="20"/>
                <w:lang w:eastAsia="pt-BR"/>
              </w:rPr>
              <w:t>os</w:t>
            </w:r>
            <w:r w:rsidRPr="00C712C8">
              <w:rPr>
                <w:rFonts w:ascii="Times New Roman" w:eastAsia="Times New Roman" w:hAnsi="Times New Roman" w:cs="Times New Roman"/>
                <w:sz w:val="20"/>
                <w:szCs w:val="20"/>
                <w:lang w:eastAsia="pt-BR"/>
              </w:rPr>
              <w:t xml:space="preserve"> seus valores  do patrimônio da UG 090059 e correta contabilização na UG 090013</w:t>
            </w:r>
            <w:r>
              <w:rPr>
                <w:rFonts w:ascii="Times New Roman" w:eastAsia="Times New Roman" w:hAnsi="Times New Roman" w:cs="Times New Roman"/>
                <w:sz w:val="20"/>
                <w:szCs w:val="20"/>
                <w:lang w:eastAsia="pt-BR"/>
              </w:rPr>
              <w:t>”.</w:t>
            </w:r>
          </w:p>
          <w:p w14:paraId="6E3D4252" w14:textId="3D10838E" w:rsidR="001F14F9" w:rsidRPr="000A1EB0" w:rsidRDefault="001F14F9" w:rsidP="00C51CD7">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Informação SUINF (id. </w:t>
            </w:r>
            <w:r w:rsidRPr="001F14F9">
              <w:rPr>
                <w:rFonts w:ascii="Times New Roman" w:eastAsia="Times New Roman" w:hAnsi="Times New Roman" w:cs="Times New Roman"/>
                <w:sz w:val="20"/>
                <w:szCs w:val="20"/>
                <w:lang w:eastAsia="pt-BR"/>
              </w:rPr>
              <w:t>1543340</w:t>
            </w:r>
            <w:r>
              <w:rPr>
                <w:rFonts w:ascii="Times New Roman" w:eastAsia="Times New Roman" w:hAnsi="Times New Roman" w:cs="Times New Roman"/>
                <w:sz w:val="20"/>
                <w:szCs w:val="20"/>
                <w:lang w:eastAsia="pt-BR"/>
              </w:rPr>
              <w:t>): “(...) i</w:t>
            </w:r>
            <w:r w:rsidRPr="001F14F9">
              <w:rPr>
                <w:rFonts w:ascii="Times New Roman" w:eastAsia="Times New Roman" w:hAnsi="Times New Roman" w:cs="Times New Roman"/>
                <w:sz w:val="20"/>
                <w:szCs w:val="20"/>
                <w:lang w:eastAsia="pt-BR"/>
              </w:rPr>
              <w:t>nformo que os ativos de rede (</w:t>
            </w:r>
            <w:r w:rsidRPr="001F14F9">
              <w:rPr>
                <w:rFonts w:ascii="Times New Roman" w:eastAsia="Times New Roman" w:hAnsi="Times New Roman" w:cs="Times New Roman"/>
                <w:i/>
                <w:iCs/>
                <w:sz w:val="20"/>
                <w:szCs w:val="20"/>
                <w:lang w:eastAsia="pt-BR"/>
              </w:rPr>
              <w:t>switches</w:t>
            </w:r>
            <w:r w:rsidRPr="001F14F9">
              <w:rPr>
                <w:rFonts w:ascii="Times New Roman" w:eastAsia="Times New Roman" w:hAnsi="Times New Roman" w:cs="Times New Roman"/>
                <w:sz w:val="20"/>
                <w:szCs w:val="20"/>
                <w:lang w:eastAsia="pt-BR"/>
              </w:rPr>
              <w:t>) instalados em Belo Horizonte se encontram vinculados à SUINF e, portanto, ao patrimônio do TRF6, uma vez que não há unidade de TIC no âmbito da SJMG</w:t>
            </w:r>
            <w:r w:rsidR="00E96C45">
              <w:rPr>
                <w:rFonts w:ascii="Times New Roman" w:eastAsia="Times New Roman" w:hAnsi="Times New Roman" w:cs="Times New Roman"/>
                <w:sz w:val="20"/>
                <w:szCs w:val="20"/>
                <w:lang w:eastAsia="pt-BR"/>
              </w:rPr>
              <w:t>”</w:t>
            </w:r>
            <w:r w:rsidRPr="001F14F9">
              <w:rPr>
                <w:rFonts w:ascii="Times New Roman" w:eastAsia="Times New Roman" w:hAnsi="Times New Roman" w:cs="Times New Roman"/>
                <w:sz w:val="20"/>
                <w:szCs w:val="20"/>
                <w:lang w:eastAsia="pt-BR"/>
              </w:rPr>
              <w:t>.</w:t>
            </w:r>
          </w:p>
        </w:tc>
      </w:tr>
      <w:tr w:rsidR="00C51CD7" w:rsidRPr="00677E67" w14:paraId="7781D57A"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6DB8017" w14:textId="162A6AC4" w:rsidR="00C51CD7" w:rsidRPr="00677E6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t>Análise da Equipe de Auditoria</w:t>
            </w:r>
          </w:p>
        </w:tc>
        <w:tc>
          <w:tcPr>
            <w:tcW w:w="6800" w:type="dxa"/>
            <w:tcBorders>
              <w:top w:val="single" w:sz="4" w:space="0" w:color="auto"/>
              <w:left w:val="single" w:sz="4" w:space="0" w:color="auto"/>
              <w:bottom w:val="single" w:sz="4" w:space="0" w:color="auto"/>
              <w:right w:val="single" w:sz="4" w:space="0" w:color="auto"/>
            </w:tcBorders>
            <w:vAlign w:val="center"/>
          </w:tcPr>
          <w:p w14:paraId="1DCDB412" w14:textId="52A750FE" w:rsidR="00A75864" w:rsidRPr="000A1EB0" w:rsidRDefault="00A75864" w:rsidP="00C51CD7">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F</w:t>
            </w:r>
            <w:r w:rsidRPr="00A75864">
              <w:rPr>
                <w:rFonts w:ascii="Times New Roman" w:eastAsia="Times New Roman" w:hAnsi="Times New Roman" w:cs="Times New Roman"/>
                <w:sz w:val="20"/>
                <w:szCs w:val="20"/>
                <w:lang w:eastAsia="pt-BR"/>
              </w:rPr>
              <w:t xml:space="preserve">oi realizada a regularização do valor correspondente aos bens transferidos para as Subseções Judiciárias do interior de Minas Gerais, </w:t>
            </w:r>
            <w:r>
              <w:rPr>
                <w:rFonts w:ascii="Times New Roman" w:eastAsia="Times New Roman" w:hAnsi="Times New Roman" w:cs="Times New Roman"/>
                <w:sz w:val="20"/>
                <w:szCs w:val="20"/>
                <w:lang w:eastAsia="pt-BR"/>
              </w:rPr>
              <w:t>c</w:t>
            </w:r>
            <w:r w:rsidRPr="00A75864">
              <w:rPr>
                <w:rFonts w:ascii="Times New Roman" w:eastAsia="Times New Roman" w:hAnsi="Times New Roman" w:cs="Times New Roman"/>
                <w:sz w:val="20"/>
                <w:szCs w:val="20"/>
                <w:lang w:eastAsia="pt-BR"/>
              </w:rPr>
              <w:t>onforme a 2025NS003505 (id. 1300889)</w:t>
            </w:r>
            <w:r>
              <w:rPr>
                <w:rFonts w:ascii="Times New Roman" w:eastAsia="Times New Roman" w:hAnsi="Times New Roman" w:cs="Times New Roman"/>
                <w:sz w:val="20"/>
                <w:szCs w:val="20"/>
                <w:lang w:eastAsia="pt-BR"/>
              </w:rPr>
              <w:t xml:space="preserve"> e</w:t>
            </w:r>
            <w:r w:rsidRPr="00A75864">
              <w:rPr>
                <w:rFonts w:ascii="Times New Roman" w:eastAsia="Times New Roman" w:hAnsi="Times New Roman" w:cs="Times New Roman"/>
                <w:sz w:val="20"/>
                <w:szCs w:val="20"/>
                <w:lang w:eastAsia="pt-BR"/>
              </w:rPr>
              <w:t xml:space="preserve"> planilha (id. 1300863). No que se refere aos bens instalados em Belo Horizonte, a SUINF informou (id. 1543340) que os ativos de rede (switches) estão </w:t>
            </w:r>
            <w:r w:rsidRPr="00A75864">
              <w:rPr>
                <w:rFonts w:ascii="Times New Roman" w:eastAsia="Times New Roman" w:hAnsi="Times New Roman" w:cs="Times New Roman"/>
                <w:sz w:val="20"/>
                <w:szCs w:val="20"/>
                <w:lang w:eastAsia="pt-BR"/>
              </w:rPr>
              <w:lastRenderedPageBreak/>
              <w:t>vinculados àquela unidade e, portanto, permanecem registrados no patrimônio do TRF6, tendo em vista a inexistência de unidade de TIC no âmbito da SJMG.</w:t>
            </w:r>
          </w:p>
        </w:tc>
      </w:tr>
      <w:tr w:rsidR="00C51CD7" w:rsidRPr="00677E67" w14:paraId="6C013798" w14:textId="77777777" w:rsidTr="00E258D8">
        <w:trPr>
          <w:trHeight w:val="286"/>
          <w:jc w:val="center"/>
        </w:trPr>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B741C93" w14:textId="42364FF3" w:rsidR="00C51CD7" w:rsidRPr="00677E67" w:rsidRDefault="00C51CD7" w:rsidP="00C51CD7">
            <w:pPr>
              <w:ind w:firstLine="0"/>
              <w:jc w:val="both"/>
              <w:rPr>
                <w:rFonts w:ascii="Times New Roman" w:eastAsia="Times New Roman" w:hAnsi="Times New Roman" w:cs="Times New Roman"/>
                <w:b/>
                <w:bCs/>
                <w:sz w:val="20"/>
                <w:szCs w:val="20"/>
                <w:lang w:eastAsia="pt-BR"/>
              </w:rPr>
            </w:pPr>
            <w:r w:rsidRPr="00677E67">
              <w:rPr>
                <w:rFonts w:ascii="Times New Roman" w:eastAsia="Times New Roman" w:hAnsi="Times New Roman" w:cs="Times New Roman"/>
                <w:b/>
                <w:bCs/>
                <w:sz w:val="20"/>
                <w:szCs w:val="20"/>
                <w:lang w:eastAsia="pt-BR"/>
              </w:rPr>
              <w:lastRenderedPageBreak/>
              <w:t>Classificação da recomendação</w:t>
            </w:r>
          </w:p>
        </w:tc>
        <w:tc>
          <w:tcPr>
            <w:tcW w:w="6800" w:type="dxa"/>
            <w:tcBorders>
              <w:top w:val="single" w:sz="4" w:space="0" w:color="auto"/>
              <w:left w:val="single" w:sz="4" w:space="0" w:color="auto"/>
              <w:bottom w:val="single" w:sz="4" w:space="0" w:color="auto"/>
              <w:right w:val="single" w:sz="4" w:space="0" w:color="auto"/>
            </w:tcBorders>
            <w:vAlign w:val="center"/>
          </w:tcPr>
          <w:p w14:paraId="7078F94F" w14:textId="3D8FFA24" w:rsidR="00C51CD7" w:rsidRPr="000A1EB0" w:rsidRDefault="00986169" w:rsidP="00C51CD7">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Implementada</w:t>
            </w:r>
          </w:p>
        </w:tc>
      </w:tr>
    </w:tbl>
    <w:p w14:paraId="6954DDC9" w14:textId="77777777" w:rsidR="001F2898" w:rsidRPr="00C47BED" w:rsidRDefault="00C47BED" w:rsidP="00401EE8">
      <w:pPr>
        <w:ind w:right="120" w:firstLine="0"/>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   </w:t>
      </w:r>
      <w:r w:rsidRPr="00C47BED">
        <w:rPr>
          <w:rFonts w:ascii="Times New Roman" w:eastAsia="Times New Roman" w:hAnsi="Times New Roman" w:cs="Times New Roman"/>
          <w:bCs/>
          <w:sz w:val="20"/>
          <w:szCs w:val="20"/>
          <w:lang w:eastAsia="pt-BR"/>
        </w:rPr>
        <w:t>Fonte: Elaborado pela equipe de auditoria</w:t>
      </w:r>
    </w:p>
    <w:p w14:paraId="77CD570F" w14:textId="77777777" w:rsidR="00C369C1" w:rsidRDefault="00C369C1" w:rsidP="00515EFB">
      <w:pPr>
        <w:ind w:right="119" w:firstLine="0"/>
        <w:jc w:val="both"/>
        <w:rPr>
          <w:rFonts w:ascii="Times New Roman" w:eastAsia="Times New Roman" w:hAnsi="Times New Roman" w:cs="Times New Roman"/>
          <w:b/>
          <w:bCs/>
          <w:sz w:val="24"/>
          <w:szCs w:val="24"/>
          <w:lang w:eastAsia="pt-BR"/>
        </w:rPr>
      </w:pPr>
    </w:p>
    <w:p w14:paraId="1B91E1FF" w14:textId="77777777" w:rsidR="001F2898" w:rsidRPr="00350372" w:rsidRDefault="00A61C3A" w:rsidP="00CC6B04">
      <w:pPr>
        <w:spacing w:before="240"/>
        <w:ind w:right="120" w:firstLine="0"/>
        <w:jc w:val="both"/>
        <w:rPr>
          <w:rFonts w:ascii="Times New Roman" w:eastAsia="Times New Roman" w:hAnsi="Times New Roman" w:cs="Times New Roman"/>
          <w:b/>
          <w:bCs/>
          <w:sz w:val="24"/>
          <w:szCs w:val="24"/>
          <w:lang w:eastAsia="pt-BR"/>
        </w:rPr>
      </w:pPr>
      <w:r w:rsidRPr="00A61C3A">
        <w:rPr>
          <w:rFonts w:ascii="Times New Roman" w:eastAsia="Times New Roman" w:hAnsi="Times New Roman" w:cs="Times New Roman"/>
          <w:b/>
          <w:bCs/>
          <w:sz w:val="24"/>
          <w:szCs w:val="24"/>
          <w:lang w:eastAsia="pt-BR"/>
        </w:rPr>
        <w:t xml:space="preserve">6. </w:t>
      </w:r>
      <w:r w:rsidRPr="00C71976">
        <w:rPr>
          <w:rFonts w:ascii="Times New Roman" w:eastAsia="Times New Roman" w:hAnsi="Times New Roman" w:cs="Times New Roman"/>
          <w:b/>
          <w:bCs/>
          <w:sz w:val="24"/>
          <w:szCs w:val="24"/>
          <w:lang w:eastAsia="pt-BR"/>
        </w:rPr>
        <w:t xml:space="preserve">ASSUNTOS QUE EXIGIRAM ATENÇÃO SIGNIFICATIVA </w:t>
      </w:r>
      <w:r w:rsidR="00026A19" w:rsidRPr="00C71976">
        <w:rPr>
          <w:rFonts w:ascii="Times New Roman" w:eastAsia="Times New Roman" w:hAnsi="Times New Roman" w:cs="Times New Roman"/>
          <w:b/>
          <w:bCs/>
          <w:sz w:val="24"/>
          <w:szCs w:val="24"/>
          <w:lang w:eastAsia="pt-BR"/>
        </w:rPr>
        <w:t xml:space="preserve">DA </w:t>
      </w:r>
      <w:r w:rsidRPr="00C71976">
        <w:rPr>
          <w:rFonts w:ascii="Times New Roman" w:eastAsia="Times New Roman" w:hAnsi="Times New Roman" w:cs="Times New Roman"/>
          <w:b/>
          <w:bCs/>
          <w:sz w:val="24"/>
          <w:szCs w:val="24"/>
          <w:lang w:eastAsia="pt-BR"/>
        </w:rPr>
        <w:t>AUDITORIA</w:t>
      </w:r>
    </w:p>
    <w:p w14:paraId="4697BDBE" w14:textId="66F75287" w:rsidR="001F2898" w:rsidRPr="00184278" w:rsidRDefault="00A61C3A" w:rsidP="005D3993">
      <w:pPr>
        <w:spacing w:before="240"/>
        <w:jc w:val="both"/>
        <w:rPr>
          <w:rFonts w:ascii="Times New Roman" w:eastAsia="Times New Roman" w:hAnsi="Times New Roman" w:cs="Times New Roman"/>
          <w:color w:val="000000"/>
          <w:sz w:val="24"/>
          <w:szCs w:val="24"/>
          <w:lang w:eastAsia="pt-BR"/>
        </w:rPr>
      </w:pPr>
      <w:r w:rsidRPr="00A77BBB">
        <w:rPr>
          <w:rFonts w:ascii="Times New Roman" w:eastAsia="Times New Roman" w:hAnsi="Times New Roman" w:cs="Times New Roman"/>
          <w:color w:val="000000"/>
          <w:sz w:val="24"/>
          <w:szCs w:val="24"/>
          <w:lang w:eastAsia="pt-BR"/>
        </w:rPr>
        <w:t>As</w:t>
      </w:r>
      <w:r w:rsidRPr="00184278">
        <w:rPr>
          <w:rFonts w:ascii="Times New Roman" w:eastAsia="Times New Roman" w:hAnsi="Times New Roman" w:cs="Times New Roman"/>
          <w:color w:val="000000"/>
          <w:sz w:val="24"/>
          <w:szCs w:val="24"/>
          <w:lang w:eastAsia="pt-BR"/>
        </w:rPr>
        <w:t xml:space="preserve">suntos que exigiram atenção significativa </w:t>
      </w:r>
      <w:r w:rsidR="00026A19" w:rsidRPr="00184278">
        <w:rPr>
          <w:rFonts w:ascii="Times New Roman" w:eastAsia="Times New Roman" w:hAnsi="Times New Roman" w:cs="Times New Roman"/>
          <w:color w:val="000000"/>
          <w:sz w:val="24"/>
          <w:szCs w:val="24"/>
          <w:lang w:eastAsia="pt-BR"/>
        </w:rPr>
        <w:t xml:space="preserve">da </w:t>
      </w:r>
      <w:r w:rsidRPr="00184278">
        <w:rPr>
          <w:rFonts w:ascii="Times New Roman" w:eastAsia="Times New Roman" w:hAnsi="Times New Roman" w:cs="Times New Roman"/>
          <w:color w:val="000000"/>
          <w:sz w:val="24"/>
          <w:szCs w:val="24"/>
          <w:lang w:eastAsia="pt-BR"/>
        </w:rPr>
        <w:t>auditoria não são achados, mas podem fornecer aos usuários uma base para obtenção de informações adicionais da administração</w:t>
      </w:r>
      <w:r w:rsidR="00E05772" w:rsidRPr="00184278">
        <w:rPr>
          <w:rFonts w:ascii="Times New Roman" w:eastAsia="Times New Roman" w:hAnsi="Times New Roman" w:cs="Times New Roman"/>
          <w:color w:val="000000"/>
          <w:sz w:val="24"/>
          <w:szCs w:val="24"/>
          <w:lang w:eastAsia="pt-BR"/>
        </w:rPr>
        <w:t xml:space="preserve"> </w:t>
      </w:r>
      <w:r w:rsidRPr="00184278">
        <w:rPr>
          <w:rFonts w:ascii="Times New Roman" w:eastAsia="Times New Roman" w:hAnsi="Times New Roman" w:cs="Times New Roman"/>
          <w:color w:val="000000"/>
          <w:sz w:val="24"/>
          <w:szCs w:val="24"/>
          <w:lang w:eastAsia="pt-BR"/>
        </w:rPr>
        <w:t xml:space="preserve">e </w:t>
      </w:r>
      <w:r w:rsidR="00B54A4B" w:rsidRPr="00184278">
        <w:rPr>
          <w:rFonts w:ascii="Times New Roman" w:eastAsia="Times New Roman" w:hAnsi="Times New Roman" w:cs="Times New Roman"/>
          <w:color w:val="000000"/>
          <w:sz w:val="24"/>
          <w:szCs w:val="24"/>
          <w:lang w:eastAsia="pt-BR"/>
        </w:rPr>
        <w:t>d</w:t>
      </w:r>
      <w:r w:rsidRPr="00184278">
        <w:rPr>
          <w:rFonts w:ascii="Times New Roman" w:eastAsia="Times New Roman" w:hAnsi="Times New Roman" w:cs="Times New Roman"/>
          <w:color w:val="000000"/>
          <w:sz w:val="24"/>
          <w:szCs w:val="24"/>
          <w:lang w:eastAsia="pt-BR"/>
        </w:rPr>
        <w:t xml:space="preserve">os responsáveis pela governança sobre determinados assuntos relacionados à entidade, às demonstrações contábeis auditadas ou à auditoria </w:t>
      </w:r>
      <w:r w:rsidRPr="00112C75">
        <w:rPr>
          <w:rFonts w:ascii="Times New Roman" w:eastAsia="Times New Roman" w:hAnsi="Times New Roman" w:cs="Times New Roman"/>
          <w:color w:val="000000"/>
          <w:sz w:val="24"/>
          <w:szCs w:val="24"/>
          <w:lang w:eastAsia="pt-BR"/>
        </w:rPr>
        <w:t xml:space="preserve">realizada </w:t>
      </w:r>
      <w:r w:rsidR="00112C75" w:rsidRPr="00B74E47">
        <w:rPr>
          <w:rFonts w:ascii="Times New Roman" w:eastAsia="Times New Roman" w:hAnsi="Times New Roman" w:cs="Times New Roman"/>
          <w:color w:val="000000"/>
          <w:sz w:val="24"/>
          <w:szCs w:val="24"/>
          <w:lang w:eastAsia="pt-BR"/>
        </w:rPr>
        <w:t>(</w:t>
      </w:r>
      <w:r w:rsidR="00112C75" w:rsidRPr="00D57904">
        <w:rPr>
          <w:rFonts w:ascii="Times New Roman" w:eastAsia="Times New Roman" w:hAnsi="Times New Roman" w:cs="Times New Roman"/>
          <w:color w:val="000000"/>
          <w:sz w:val="24"/>
          <w:szCs w:val="24"/>
          <w:lang w:eastAsia="pt-BR"/>
        </w:rPr>
        <w:t>ISA/</w:t>
      </w:r>
      <w:hyperlink r:id="rId49" w:tgtFrame="_blank" w:history="1">
        <w:r w:rsidR="00112C75" w:rsidRPr="00D57904">
          <w:rPr>
            <w:rFonts w:ascii="Times New Roman" w:eastAsia="Times New Roman" w:hAnsi="Times New Roman" w:cs="Times New Roman"/>
            <w:color w:val="000000"/>
            <w:sz w:val="24"/>
            <w:szCs w:val="24"/>
            <w:lang w:eastAsia="pt-BR"/>
          </w:rPr>
          <w:t>NBC TA 701</w:t>
        </w:r>
      </w:hyperlink>
      <w:r w:rsidR="00112C75" w:rsidRPr="00D57904">
        <w:rPr>
          <w:rFonts w:ascii="Times New Roman" w:eastAsia="Times New Roman" w:hAnsi="Times New Roman" w:cs="Times New Roman"/>
          <w:color w:val="000000"/>
          <w:sz w:val="24"/>
          <w:szCs w:val="24"/>
          <w:lang w:eastAsia="pt-BR"/>
        </w:rPr>
        <w:t>, itens 3 e 9)</w:t>
      </w:r>
      <w:r w:rsidRPr="00D57904">
        <w:rPr>
          <w:rFonts w:ascii="Times New Roman" w:eastAsia="Times New Roman" w:hAnsi="Times New Roman" w:cs="Times New Roman"/>
          <w:color w:val="000000"/>
          <w:sz w:val="24"/>
          <w:szCs w:val="24"/>
          <w:lang w:eastAsia="pt-BR"/>
        </w:rPr>
        <w:t>. Para a equipe de auditoria esses assuntos podem constituir-se em importantes indicativos ou</w:t>
      </w:r>
      <w:r w:rsidRPr="00184278">
        <w:rPr>
          <w:rFonts w:ascii="Times New Roman" w:eastAsia="Times New Roman" w:hAnsi="Times New Roman" w:cs="Times New Roman"/>
          <w:color w:val="000000"/>
          <w:sz w:val="24"/>
          <w:szCs w:val="24"/>
          <w:lang w:eastAsia="pt-BR"/>
        </w:rPr>
        <w:t xml:space="preserve"> subsídios para ações de controle ou para a realização de auditorias operacionais.</w:t>
      </w:r>
    </w:p>
    <w:p w14:paraId="48577C5B" w14:textId="5CD9B76F" w:rsidR="00B74E47" w:rsidRDefault="00CE4A5B" w:rsidP="00B74E47">
      <w:pPr>
        <w:spacing w:before="240"/>
        <w:ind w:right="119" w:firstLine="708"/>
        <w:jc w:val="both"/>
        <w:rPr>
          <w:rFonts w:ascii="Times New Roman" w:eastAsia="Times New Roman" w:hAnsi="Times New Roman" w:cs="Times New Roman"/>
          <w:color w:val="000000"/>
          <w:sz w:val="24"/>
          <w:szCs w:val="24"/>
          <w:lang w:eastAsia="pt-BR"/>
        </w:rPr>
      </w:pPr>
      <w:r w:rsidRPr="00CE4A5B">
        <w:rPr>
          <w:rFonts w:ascii="Times New Roman" w:eastAsia="Times New Roman" w:hAnsi="Times New Roman" w:cs="Times New Roman"/>
          <w:color w:val="000000"/>
          <w:sz w:val="24"/>
          <w:szCs w:val="24"/>
          <w:lang w:eastAsia="pt-BR"/>
        </w:rPr>
        <w:t xml:space="preserve">Assim como nos exercícios anteriores, a análise do ciclo de patrimônio permaneceu como assunto que exigiu atenção significativa da equipe de auditoria, em razão das fragilidades já relatadas quanto à ausência de inventários </w:t>
      </w:r>
      <w:r w:rsidR="00C6104D">
        <w:rPr>
          <w:rFonts w:ascii="Times New Roman" w:eastAsia="Times New Roman" w:hAnsi="Times New Roman" w:cs="Times New Roman"/>
          <w:color w:val="000000"/>
          <w:sz w:val="24"/>
          <w:szCs w:val="24"/>
          <w:lang w:eastAsia="pt-BR"/>
        </w:rPr>
        <w:t>anuais</w:t>
      </w:r>
      <w:r w:rsidRPr="00CE4A5B">
        <w:rPr>
          <w:rFonts w:ascii="Times New Roman" w:eastAsia="Times New Roman" w:hAnsi="Times New Roman" w:cs="Times New Roman"/>
          <w:color w:val="000000"/>
          <w:sz w:val="24"/>
          <w:szCs w:val="24"/>
          <w:lang w:eastAsia="pt-BR"/>
        </w:rPr>
        <w:t xml:space="preserve">, às limitações operacionais da unidade responsável e às dificuldades relacionadas ao sistema de controle patrimonial. </w:t>
      </w:r>
    </w:p>
    <w:p w14:paraId="4C0BAA64" w14:textId="417DBA2C" w:rsidR="00BD508D" w:rsidRDefault="00BD508D" w:rsidP="00B74E47">
      <w:pPr>
        <w:spacing w:before="240"/>
        <w:ind w:right="119" w:firstLine="708"/>
        <w:jc w:val="both"/>
        <w:rPr>
          <w:rFonts w:ascii="Times New Roman" w:eastAsia="Times New Roman" w:hAnsi="Times New Roman" w:cs="Times New Roman"/>
          <w:color w:val="000000"/>
          <w:sz w:val="24"/>
          <w:szCs w:val="24"/>
          <w:lang w:eastAsia="pt-BR"/>
        </w:rPr>
      </w:pPr>
      <w:r w:rsidRPr="00BD508D">
        <w:rPr>
          <w:rFonts w:ascii="Times New Roman" w:eastAsia="Times New Roman" w:hAnsi="Times New Roman" w:cs="Times New Roman"/>
          <w:color w:val="000000"/>
          <w:sz w:val="24"/>
          <w:szCs w:val="24"/>
          <w:lang w:eastAsia="pt-BR"/>
        </w:rPr>
        <w:t>No exercício de 2025</w:t>
      </w:r>
      <w:r w:rsidR="00E14256">
        <w:rPr>
          <w:rFonts w:ascii="Times New Roman" w:eastAsia="Times New Roman" w:hAnsi="Times New Roman" w:cs="Times New Roman"/>
          <w:color w:val="000000"/>
          <w:sz w:val="24"/>
          <w:szCs w:val="24"/>
          <w:lang w:eastAsia="pt-BR"/>
        </w:rPr>
        <w:t xml:space="preserve"> </w:t>
      </w:r>
      <w:r w:rsidRPr="00BD508D">
        <w:rPr>
          <w:rFonts w:ascii="Times New Roman" w:eastAsia="Times New Roman" w:hAnsi="Times New Roman" w:cs="Times New Roman"/>
          <w:color w:val="000000"/>
          <w:sz w:val="24"/>
          <w:szCs w:val="24"/>
          <w:lang w:eastAsia="pt-BR"/>
        </w:rPr>
        <w:t>verificou-se a persistência e, em certa medida, o agravamento desse cenário. Em manifestação</w:t>
      </w:r>
      <w:r w:rsidR="002C350A">
        <w:rPr>
          <w:rFonts w:ascii="Times New Roman" w:eastAsia="Times New Roman" w:hAnsi="Times New Roman" w:cs="Times New Roman"/>
          <w:color w:val="000000"/>
          <w:sz w:val="24"/>
          <w:szCs w:val="24"/>
          <w:lang w:eastAsia="pt-BR"/>
        </w:rPr>
        <w:t xml:space="preserve"> da </w:t>
      </w:r>
      <w:r w:rsidR="00747190">
        <w:rPr>
          <w:rFonts w:ascii="Times New Roman" w:eastAsia="Times New Roman" w:hAnsi="Times New Roman" w:cs="Times New Roman"/>
          <w:color w:val="000000"/>
          <w:sz w:val="24"/>
          <w:szCs w:val="24"/>
          <w:lang w:eastAsia="pt-BR"/>
        </w:rPr>
        <w:t>unidade auditada</w:t>
      </w:r>
      <w:r w:rsidR="005A5B5C">
        <w:rPr>
          <w:rFonts w:ascii="Times New Roman" w:eastAsia="Times New Roman" w:hAnsi="Times New Roman" w:cs="Times New Roman"/>
          <w:color w:val="000000"/>
          <w:sz w:val="24"/>
          <w:szCs w:val="24"/>
          <w:lang w:eastAsia="pt-BR"/>
        </w:rPr>
        <w:t xml:space="preserve"> (id. </w:t>
      </w:r>
      <w:r w:rsidR="005A5B5C" w:rsidRPr="00747190">
        <w:rPr>
          <w:rFonts w:ascii="Times New Roman" w:eastAsia="Times New Roman" w:hAnsi="Times New Roman" w:cs="Times New Roman"/>
          <w:color w:val="000000"/>
          <w:sz w:val="24"/>
          <w:szCs w:val="24"/>
          <w:lang w:eastAsia="pt-BR"/>
        </w:rPr>
        <w:t>1564705</w:t>
      </w:r>
      <w:r w:rsidR="005A5B5C">
        <w:rPr>
          <w:rFonts w:ascii="Times New Roman" w:eastAsia="Times New Roman" w:hAnsi="Times New Roman" w:cs="Times New Roman"/>
          <w:color w:val="000000"/>
          <w:sz w:val="24"/>
          <w:szCs w:val="24"/>
          <w:lang w:eastAsia="pt-BR"/>
        </w:rPr>
        <w:t>)</w:t>
      </w:r>
      <w:r w:rsidR="002C350A">
        <w:rPr>
          <w:rFonts w:ascii="Times New Roman" w:eastAsia="Times New Roman" w:hAnsi="Times New Roman" w:cs="Times New Roman"/>
          <w:color w:val="000000"/>
          <w:sz w:val="24"/>
          <w:szCs w:val="24"/>
          <w:lang w:eastAsia="pt-BR"/>
        </w:rPr>
        <w:t>, destacou-se</w:t>
      </w:r>
      <w:r w:rsidRPr="00BD508D">
        <w:rPr>
          <w:rFonts w:ascii="Times New Roman" w:eastAsia="Times New Roman" w:hAnsi="Times New Roman" w:cs="Times New Roman"/>
          <w:color w:val="000000"/>
          <w:sz w:val="24"/>
          <w:szCs w:val="24"/>
          <w:lang w:eastAsia="pt-BR"/>
        </w:rPr>
        <w:t xml:space="preserve"> a redução do quadro de pessoal da Seção de Material e Patrimônio – SEMAP, </w:t>
      </w:r>
      <w:r w:rsidR="002C350A">
        <w:rPr>
          <w:rFonts w:ascii="Times New Roman" w:eastAsia="Times New Roman" w:hAnsi="Times New Roman" w:cs="Times New Roman"/>
          <w:color w:val="000000"/>
          <w:sz w:val="24"/>
          <w:szCs w:val="24"/>
          <w:lang w:eastAsia="pt-BR"/>
        </w:rPr>
        <w:t>com impacto</w:t>
      </w:r>
      <w:r w:rsidRPr="00BD508D">
        <w:rPr>
          <w:rFonts w:ascii="Times New Roman" w:eastAsia="Times New Roman" w:hAnsi="Times New Roman" w:cs="Times New Roman"/>
          <w:color w:val="000000"/>
          <w:sz w:val="24"/>
          <w:szCs w:val="24"/>
          <w:lang w:eastAsia="pt-BR"/>
        </w:rPr>
        <w:t xml:space="preserve"> dire</w:t>
      </w:r>
      <w:r w:rsidR="002C350A">
        <w:rPr>
          <w:rFonts w:ascii="Times New Roman" w:eastAsia="Times New Roman" w:hAnsi="Times New Roman" w:cs="Times New Roman"/>
          <w:color w:val="000000"/>
          <w:sz w:val="24"/>
          <w:szCs w:val="24"/>
          <w:lang w:eastAsia="pt-BR"/>
        </w:rPr>
        <w:t>to</w:t>
      </w:r>
      <w:r w:rsidRPr="00BD508D">
        <w:rPr>
          <w:rFonts w:ascii="Times New Roman" w:eastAsia="Times New Roman" w:hAnsi="Times New Roman" w:cs="Times New Roman"/>
          <w:color w:val="000000"/>
          <w:sz w:val="24"/>
          <w:szCs w:val="24"/>
          <w:lang w:eastAsia="pt-BR"/>
        </w:rPr>
        <w:t xml:space="preserve"> </w:t>
      </w:r>
      <w:r w:rsidR="002C350A">
        <w:rPr>
          <w:rFonts w:ascii="Times New Roman" w:eastAsia="Times New Roman" w:hAnsi="Times New Roman" w:cs="Times New Roman"/>
          <w:color w:val="000000"/>
          <w:sz w:val="24"/>
          <w:szCs w:val="24"/>
          <w:lang w:eastAsia="pt-BR"/>
        </w:rPr>
        <w:t xml:space="preserve">em </w:t>
      </w:r>
      <w:r w:rsidRPr="00BD508D">
        <w:rPr>
          <w:rFonts w:ascii="Times New Roman" w:eastAsia="Times New Roman" w:hAnsi="Times New Roman" w:cs="Times New Roman"/>
          <w:color w:val="000000"/>
          <w:sz w:val="24"/>
          <w:szCs w:val="24"/>
          <w:lang w:eastAsia="pt-BR"/>
        </w:rPr>
        <w:t>sua capacidade operacional.</w:t>
      </w:r>
      <w:r w:rsidR="004D6AC0">
        <w:rPr>
          <w:rFonts w:ascii="Times New Roman" w:eastAsia="Times New Roman" w:hAnsi="Times New Roman" w:cs="Times New Roman"/>
          <w:color w:val="000000"/>
          <w:sz w:val="24"/>
          <w:szCs w:val="24"/>
          <w:lang w:eastAsia="pt-BR"/>
        </w:rPr>
        <w:t xml:space="preserve"> Na mesma manifes</w:t>
      </w:r>
      <w:r w:rsidR="002C350A">
        <w:rPr>
          <w:rFonts w:ascii="Times New Roman" w:eastAsia="Times New Roman" w:hAnsi="Times New Roman" w:cs="Times New Roman"/>
          <w:color w:val="000000"/>
          <w:sz w:val="24"/>
          <w:szCs w:val="24"/>
          <w:lang w:eastAsia="pt-BR"/>
        </w:rPr>
        <w:t>tação</w:t>
      </w:r>
      <w:r w:rsidR="004D6AC0">
        <w:rPr>
          <w:rFonts w:ascii="Times New Roman" w:eastAsia="Times New Roman" w:hAnsi="Times New Roman" w:cs="Times New Roman"/>
          <w:color w:val="000000"/>
          <w:sz w:val="24"/>
          <w:szCs w:val="24"/>
          <w:lang w:eastAsia="pt-BR"/>
        </w:rPr>
        <w:t xml:space="preserve"> </w:t>
      </w:r>
      <w:r w:rsidR="002C350A">
        <w:rPr>
          <w:rFonts w:ascii="Times New Roman" w:eastAsia="Times New Roman" w:hAnsi="Times New Roman" w:cs="Times New Roman"/>
          <w:color w:val="000000"/>
          <w:sz w:val="24"/>
          <w:szCs w:val="24"/>
          <w:lang w:eastAsia="pt-BR"/>
        </w:rPr>
        <w:t>informou-se</w:t>
      </w:r>
      <w:r w:rsidRPr="00BD508D">
        <w:rPr>
          <w:rFonts w:ascii="Times New Roman" w:eastAsia="Times New Roman" w:hAnsi="Times New Roman" w:cs="Times New Roman"/>
          <w:color w:val="000000"/>
          <w:sz w:val="24"/>
          <w:szCs w:val="24"/>
          <w:lang w:eastAsia="pt-BR"/>
        </w:rPr>
        <w:t>, ainda, que o patrimônio da 6ª Região ultrapassa 100.000 itens, os quais continuam sendo administrados por meio de sistema legado</w:t>
      </w:r>
      <w:r w:rsidR="004D6AC0">
        <w:rPr>
          <w:rFonts w:ascii="Times New Roman" w:eastAsia="Times New Roman" w:hAnsi="Times New Roman" w:cs="Times New Roman"/>
          <w:color w:val="000000"/>
          <w:sz w:val="24"/>
          <w:szCs w:val="24"/>
          <w:lang w:eastAsia="pt-BR"/>
        </w:rPr>
        <w:t xml:space="preserve"> do 1º grau, herdado do TRF1</w:t>
      </w:r>
      <w:r w:rsidRPr="00BD508D">
        <w:rPr>
          <w:rFonts w:ascii="Times New Roman" w:eastAsia="Times New Roman" w:hAnsi="Times New Roman" w:cs="Times New Roman"/>
          <w:color w:val="000000"/>
          <w:sz w:val="24"/>
          <w:szCs w:val="24"/>
          <w:lang w:eastAsia="pt-BR"/>
        </w:rPr>
        <w:t>, desatualizado e que não contempla a integralidade dos bens.</w:t>
      </w:r>
    </w:p>
    <w:p w14:paraId="0AAE3E37" w14:textId="2E4C7383" w:rsidR="00BD508D" w:rsidRPr="00BD508D" w:rsidRDefault="00BD508D" w:rsidP="00BD508D">
      <w:pPr>
        <w:spacing w:before="240"/>
        <w:ind w:right="119" w:firstLine="708"/>
        <w:jc w:val="both"/>
        <w:rPr>
          <w:rFonts w:ascii="Times New Roman" w:eastAsia="Times New Roman" w:hAnsi="Times New Roman" w:cs="Times New Roman"/>
          <w:color w:val="000000"/>
          <w:sz w:val="24"/>
          <w:szCs w:val="24"/>
          <w:lang w:eastAsia="pt-BR"/>
        </w:rPr>
      </w:pPr>
      <w:r w:rsidRPr="00BD508D">
        <w:rPr>
          <w:rFonts w:ascii="Times New Roman" w:eastAsia="Times New Roman" w:hAnsi="Times New Roman" w:cs="Times New Roman"/>
          <w:color w:val="000000"/>
          <w:sz w:val="24"/>
          <w:szCs w:val="24"/>
          <w:lang w:eastAsia="pt-BR"/>
        </w:rPr>
        <w:t>Nesse contexto, os registros contábeis relacionados ao patrimônio</w:t>
      </w:r>
      <w:r w:rsidR="004D6AC0">
        <w:rPr>
          <w:rFonts w:ascii="Times New Roman" w:eastAsia="Times New Roman" w:hAnsi="Times New Roman" w:cs="Times New Roman"/>
          <w:color w:val="000000"/>
          <w:sz w:val="24"/>
          <w:szCs w:val="24"/>
          <w:lang w:eastAsia="pt-BR"/>
        </w:rPr>
        <w:t xml:space="preserve"> </w:t>
      </w:r>
      <w:r w:rsidR="002C350A">
        <w:rPr>
          <w:rFonts w:ascii="Times New Roman" w:eastAsia="Times New Roman" w:hAnsi="Times New Roman" w:cs="Times New Roman"/>
          <w:color w:val="000000"/>
          <w:sz w:val="24"/>
          <w:szCs w:val="24"/>
          <w:lang w:eastAsia="pt-BR"/>
        </w:rPr>
        <w:t>d</w:t>
      </w:r>
      <w:r w:rsidR="00765FC7">
        <w:rPr>
          <w:rFonts w:ascii="Times New Roman" w:eastAsia="Times New Roman" w:hAnsi="Times New Roman" w:cs="Times New Roman"/>
          <w:color w:val="000000"/>
          <w:sz w:val="24"/>
          <w:szCs w:val="24"/>
          <w:lang w:eastAsia="pt-BR"/>
        </w:rPr>
        <w:t>o Tribunal</w:t>
      </w:r>
      <w:r w:rsidR="002C350A">
        <w:rPr>
          <w:rFonts w:ascii="Times New Roman" w:eastAsia="Times New Roman" w:hAnsi="Times New Roman" w:cs="Times New Roman"/>
          <w:color w:val="000000"/>
          <w:sz w:val="24"/>
          <w:szCs w:val="24"/>
          <w:lang w:eastAsia="pt-BR"/>
        </w:rPr>
        <w:t xml:space="preserve"> </w:t>
      </w:r>
      <w:r w:rsidR="00765FC7">
        <w:rPr>
          <w:rFonts w:ascii="Times New Roman" w:eastAsia="Times New Roman" w:hAnsi="Times New Roman" w:cs="Times New Roman"/>
          <w:color w:val="000000"/>
          <w:sz w:val="24"/>
          <w:szCs w:val="24"/>
          <w:lang w:eastAsia="pt-BR"/>
        </w:rPr>
        <w:t>(</w:t>
      </w:r>
      <w:r w:rsidR="002C350A">
        <w:rPr>
          <w:rFonts w:ascii="Times New Roman" w:eastAsia="Times New Roman" w:hAnsi="Times New Roman" w:cs="Times New Roman"/>
          <w:color w:val="000000"/>
          <w:sz w:val="24"/>
          <w:szCs w:val="24"/>
          <w:lang w:eastAsia="pt-BR"/>
        </w:rPr>
        <w:t>UG 090059</w:t>
      </w:r>
      <w:r w:rsidR="00765FC7">
        <w:rPr>
          <w:rFonts w:ascii="Times New Roman" w:eastAsia="Times New Roman" w:hAnsi="Times New Roman" w:cs="Times New Roman"/>
          <w:color w:val="000000"/>
          <w:sz w:val="24"/>
          <w:szCs w:val="24"/>
          <w:lang w:eastAsia="pt-BR"/>
        </w:rPr>
        <w:t>)</w:t>
      </w:r>
      <w:r w:rsidRPr="00BD508D">
        <w:rPr>
          <w:rFonts w:ascii="Times New Roman" w:eastAsia="Times New Roman" w:hAnsi="Times New Roman" w:cs="Times New Roman"/>
          <w:color w:val="000000"/>
          <w:sz w:val="24"/>
          <w:szCs w:val="24"/>
          <w:lang w:eastAsia="pt-BR"/>
        </w:rPr>
        <w:t>, inclusive aqueles relativos à depreciação, vêm sendo realizados com utilização de planilhas eletrônicas e controles manuais, o que eleva o risco de inconsistências e compromete a confiabilidade das informações patrimoniais.</w:t>
      </w:r>
    </w:p>
    <w:p w14:paraId="6A38A854" w14:textId="13E57BEE" w:rsidR="00671E7A" w:rsidRPr="00671E7A" w:rsidRDefault="00E14256" w:rsidP="00B4069C">
      <w:pPr>
        <w:spacing w:before="240"/>
        <w:ind w:right="119" w:firstLine="708"/>
        <w:jc w:val="both"/>
        <w:rPr>
          <w:rFonts w:ascii="Times New Roman" w:eastAsia="Times New Roman" w:hAnsi="Times New Roman" w:cs="Times New Roman"/>
          <w:color w:val="000000"/>
          <w:sz w:val="24"/>
          <w:szCs w:val="24"/>
          <w:lang w:eastAsia="pt-BR"/>
        </w:rPr>
      </w:pPr>
      <w:r w:rsidRPr="00CE4A5B">
        <w:rPr>
          <w:rFonts w:ascii="Times New Roman" w:eastAsia="Times New Roman" w:hAnsi="Times New Roman" w:cs="Times New Roman"/>
          <w:color w:val="000000"/>
          <w:sz w:val="24"/>
          <w:szCs w:val="24"/>
          <w:lang w:eastAsia="pt-BR"/>
        </w:rPr>
        <w:t>Conforme registrado</w:t>
      </w:r>
      <w:r>
        <w:rPr>
          <w:rFonts w:ascii="Times New Roman" w:eastAsia="Times New Roman" w:hAnsi="Times New Roman" w:cs="Times New Roman"/>
          <w:color w:val="000000"/>
          <w:sz w:val="24"/>
          <w:szCs w:val="24"/>
          <w:lang w:eastAsia="pt-BR"/>
        </w:rPr>
        <w:t xml:space="preserve"> no Relatório Final de Auditoria, exercício 2024</w:t>
      </w:r>
      <w:r w:rsidRPr="00CE4A5B">
        <w:rPr>
          <w:rFonts w:ascii="Times New Roman" w:eastAsia="Times New Roman" w:hAnsi="Times New Roman" w:cs="Times New Roman"/>
          <w:color w:val="000000"/>
          <w:sz w:val="24"/>
          <w:szCs w:val="24"/>
          <w:lang w:eastAsia="pt-BR"/>
        </w:rPr>
        <w:t>, encontravam-se em andamento tratativas para a contratação de solução integrada de gestão patrimonial, com vistas ao aprimoramento dos controles</w:t>
      </w:r>
      <w:r>
        <w:rPr>
          <w:rFonts w:ascii="Times New Roman" w:eastAsia="Times New Roman" w:hAnsi="Times New Roman" w:cs="Times New Roman"/>
          <w:color w:val="000000"/>
          <w:sz w:val="24"/>
          <w:szCs w:val="24"/>
          <w:lang w:eastAsia="pt-BR"/>
        </w:rPr>
        <w:t xml:space="preserve">, conforme processo </w:t>
      </w:r>
      <w:r w:rsidRPr="00C6104D">
        <w:rPr>
          <w:rFonts w:ascii="Times New Roman" w:eastAsia="Times New Roman" w:hAnsi="Times New Roman" w:cs="Times New Roman"/>
          <w:color w:val="000000"/>
          <w:sz w:val="24"/>
          <w:szCs w:val="24"/>
          <w:lang w:eastAsia="pt-BR"/>
        </w:rPr>
        <w:t>0014257-77.2023.4.06.8000</w:t>
      </w:r>
      <w:r>
        <w:rPr>
          <w:rFonts w:ascii="Times New Roman" w:eastAsia="Times New Roman" w:hAnsi="Times New Roman" w:cs="Times New Roman"/>
          <w:color w:val="000000"/>
          <w:sz w:val="24"/>
          <w:szCs w:val="24"/>
          <w:lang w:eastAsia="pt-BR"/>
        </w:rPr>
        <w:t>.</w:t>
      </w:r>
      <w:r w:rsidR="00B4069C">
        <w:rPr>
          <w:rFonts w:ascii="Times New Roman" w:eastAsia="Times New Roman" w:hAnsi="Times New Roman" w:cs="Times New Roman"/>
          <w:color w:val="000000"/>
          <w:sz w:val="24"/>
          <w:szCs w:val="24"/>
          <w:lang w:eastAsia="pt-BR"/>
        </w:rPr>
        <w:t xml:space="preserve"> No entanto, </w:t>
      </w:r>
      <w:r w:rsidR="00671E7A" w:rsidRPr="00671E7A">
        <w:rPr>
          <w:rFonts w:ascii="Times New Roman" w:eastAsia="Times New Roman" w:hAnsi="Times New Roman" w:cs="Times New Roman"/>
          <w:color w:val="000000"/>
          <w:sz w:val="24"/>
          <w:szCs w:val="24"/>
          <w:lang w:eastAsia="pt-BR"/>
        </w:rPr>
        <w:t>verificou-se que a contratação da solução integrada</w:t>
      </w:r>
      <w:r w:rsidR="00671E7A">
        <w:rPr>
          <w:rFonts w:ascii="Times New Roman" w:eastAsia="Times New Roman" w:hAnsi="Times New Roman" w:cs="Times New Roman"/>
          <w:color w:val="000000"/>
          <w:sz w:val="24"/>
          <w:szCs w:val="24"/>
          <w:lang w:eastAsia="pt-BR"/>
        </w:rPr>
        <w:t xml:space="preserve"> de </w:t>
      </w:r>
      <w:r w:rsidR="00671E7A" w:rsidRPr="00671E7A">
        <w:rPr>
          <w:rFonts w:ascii="Times New Roman" w:eastAsia="Times New Roman" w:hAnsi="Times New Roman" w:cs="Times New Roman"/>
          <w:color w:val="000000"/>
          <w:sz w:val="24"/>
          <w:szCs w:val="24"/>
          <w:lang w:eastAsia="pt-BR"/>
        </w:rPr>
        <w:t>gestão patrimonial de bens móveis, imóveis e intangíveis</w:t>
      </w:r>
      <w:r w:rsidR="00671E7A">
        <w:rPr>
          <w:rFonts w:ascii="Times New Roman" w:eastAsia="Times New Roman" w:hAnsi="Times New Roman" w:cs="Times New Roman"/>
          <w:color w:val="000000"/>
          <w:sz w:val="24"/>
          <w:szCs w:val="24"/>
          <w:lang w:eastAsia="pt-BR"/>
        </w:rPr>
        <w:t xml:space="preserve"> </w:t>
      </w:r>
      <w:r w:rsidR="00671E7A" w:rsidRPr="00671E7A">
        <w:rPr>
          <w:rFonts w:ascii="Times New Roman" w:eastAsia="Times New Roman" w:hAnsi="Times New Roman" w:cs="Times New Roman"/>
          <w:color w:val="000000"/>
          <w:sz w:val="24"/>
          <w:szCs w:val="24"/>
          <w:lang w:eastAsia="pt-BR"/>
        </w:rPr>
        <w:t>foi postergada para o exercício de 2026, em razão de restrições orçamentárias, havendo previsão de recursos no Plano de Contratações Anual</w:t>
      </w:r>
      <w:r w:rsidR="00671E7A">
        <w:rPr>
          <w:rFonts w:ascii="Times New Roman" w:eastAsia="Times New Roman" w:hAnsi="Times New Roman" w:cs="Times New Roman"/>
          <w:color w:val="000000"/>
          <w:sz w:val="24"/>
          <w:szCs w:val="24"/>
          <w:lang w:eastAsia="pt-BR"/>
        </w:rPr>
        <w:t xml:space="preserve"> – PAC, exercício de 2026 (id. 1487686)</w:t>
      </w:r>
      <w:r w:rsidR="00D77324">
        <w:rPr>
          <w:rFonts w:ascii="Times New Roman" w:eastAsia="Times New Roman" w:hAnsi="Times New Roman" w:cs="Times New Roman"/>
          <w:color w:val="000000"/>
          <w:sz w:val="24"/>
          <w:szCs w:val="24"/>
          <w:lang w:eastAsia="pt-BR"/>
        </w:rPr>
        <w:t>,</w:t>
      </w:r>
      <w:r w:rsidR="00671E7A">
        <w:rPr>
          <w:rFonts w:ascii="Times New Roman" w:eastAsia="Times New Roman" w:hAnsi="Times New Roman" w:cs="Times New Roman"/>
          <w:color w:val="000000"/>
          <w:sz w:val="24"/>
          <w:szCs w:val="24"/>
          <w:lang w:eastAsia="pt-BR"/>
        </w:rPr>
        <w:t xml:space="preserve"> </w:t>
      </w:r>
      <w:r w:rsidR="00671E7A" w:rsidRPr="00671E7A">
        <w:rPr>
          <w:rFonts w:ascii="Times New Roman" w:eastAsia="Times New Roman" w:hAnsi="Times New Roman" w:cs="Times New Roman"/>
          <w:color w:val="000000"/>
          <w:sz w:val="24"/>
          <w:szCs w:val="24"/>
          <w:lang w:eastAsia="pt-BR"/>
        </w:rPr>
        <w:t xml:space="preserve">para viabilização da </w:t>
      </w:r>
      <w:r w:rsidR="007A576F">
        <w:rPr>
          <w:rFonts w:ascii="Times New Roman" w:eastAsia="Times New Roman" w:hAnsi="Times New Roman" w:cs="Times New Roman"/>
          <w:color w:val="000000"/>
          <w:sz w:val="24"/>
          <w:szCs w:val="24"/>
          <w:lang w:eastAsia="pt-BR"/>
        </w:rPr>
        <w:t>despesa.</w:t>
      </w:r>
    </w:p>
    <w:p w14:paraId="1A9E8D43" w14:textId="5AD37BDA" w:rsidR="00671E7A" w:rsidRPr="00671E7A" w:rsidRDefault="00671E7A" w:rsidP="00671E7A">
      <w:pPr>
        <w:spacing w:before="240"/>
        <w:ind w:right="119" w:firstLine="708"/>
        <w:jc w:val="both"/>
        <w:rPr>
          <w:rFonts w:ascii="Times New Roman" w:eastAsia="Times New Roman" w:hAnsi="Times New Roman" w:cs="Times New Roman"/>
          <w:color w:val="000000"/>
          <w:sz w:val="24"/>
          <w:szCs w:val="24"/>
          <w:lang w:eastAsia="pt-BR"/>
        </w:rPr>
      </w:pPr>
      <w:r w:rsidRPr="00671E7A">
        <w:rPr>
          <w:rFonts w:ascii="Times New Roman" w:eastAsia="Times New Roman" w:hAnsi="Times New Roman" w:cs="Times New Roman"/>
          <w:color w:val="000000"/>
          <w:sz w:val="24"/>
          <w:szCs w:val="24"/>
          <w:lang w:eastAsia="pt-BR"/>
        </w:rPr>
        <w:t>Registre-se, por fim, que, conforme Despacho</w:t>
      </w:r>
      <w:r w:rsidR="00D77324">
        <w:rPr>
          <w:rFonts w:ascii="Times New Roman" w:eastAsia="Times New Roman" w:hAnsi="Times New Roman" w:cs="Times New Roman"/>
          <w:color w:val="000000"/>
          <w:sz w:val="24"/>
          <w:szCs w:val="24"/>
          <w:lang w:eastAsia="pt-BR"/>
        </w:rPr>
        <w:t>s</w:t>
      </w:r>
      <w:r w:rsidRPr="00671E7A">
        <w:rPr>
          <w:rFonts w:ascii="Times New Roman" w:eastAsia="Times New Roman" w:hAnsi="Times New Roman" w:cs="Times New Roman"/>
          <w:color w:val="000000"/>
          <w:sz w:val="24"/>
          <w:szCs w:val="24"/>
          <w:lang w:eastAsia="pt-BR"/>
        </w:rPr>
        <w:t xml:space="preserve"> DIGER</w:t>
      </w:r>
      <w:r>
        <w:rPr>
          <w:rFonts w:ascii="Times New Roman" w:eastAsia="Times New Roman" w:hAnsi="Times New Roman" w:cs="Times New Roman"/>
          <w:color w:val="000000"/>
          <w:sz w:val="24"/>
          <w:szCs w:val="24"/>
          <w:lang w:eastAsia="pt-BR"/>
        </w:rPr>
        <w:t xml:space="preserve"> (id. </w:t>
      </w:r>
      <w:r w:rsidRPr="00671E7A">
        <w:rPr>
          <w:rFonts w:ascii="Times New Roman" w:eastAsia="Times New Roman" w:hAnsi="Times New Roman" w:cs="Times New Roman"/>
          <w:color w:val="000000"/>
          <w:sz w:val="24"/>
          <w:szCs w:val="24"/>
          <w:lang w:eastAsia="pt-BR"/>
        </w:rPr>
        <w:t>1505077</w:t>
      </w:r>
      <w:r w:rsidR="00C27ACB">
        <w:rPr>
          <w:rFonts w:ascii="Times New Roman" w:eastAsia="Times New Roman" w:hAnsi="Times New Roman" w:cs="Times New Roman"/>
          <w:color w:val="000000"/>
          <w:sz w:val="24"/>
          <w:szCs w:val="24"/>
          <w:lang w:eastAsia="pt-BR"/>
        </w:rPr>
        <w:t xml:space="preserve"> e </w:t>
      </w:r>
      <w:r w:rsidR="00C27ACB" w:rsidRPr="00C27ACB">
        <w:rPr>
          <w:rFonts w:ascii="Times New Roman" w:eastAsia="Times New Roman" w:hAnsi="Times New Roman" w:cs="Times New Roman"/>
          <w:color w:val="000000"/>
          <w:sz w:val="24"/>
          <w:szCs w:val="24"/>
          <w:lang w:eastAsia="pt-BR"/>
        </w:rPr>
        <w:t>1514567</w:t>
      </w:r>
      <w:r>
        <w:rPr>
          <w:rFonts w:ascii="Times New Roman" w:eastAsia="Times New Roman" w:hAnsi="Times New Roman" w:cs="Times New Roman"/>
          <w:color w:val="000000"/>
          <w:sz w:val="24"/>
          <w:szCs w:val="24"/>
          <w:lang w:eastAsia="pt-BR"/>
        </w:rPr>
        <w:t>)</w:t>
      </w:r>
      <w:r w:rsidR="00A96FD4">
        <w:rPr>
          <w:rFonts w:ascii="Times New Roman" w:eastAsia="Times New Roman" w:hAnsi="Times New Roman" w:cs="Times New Roman"/>
          <w:color w:val="000000"/>
          <w:sz w:val="24"/>
          <w:szCs w:val="24"/>
          <w:lang w:eastAsia="pt-BR"/>
        </w:rPr>
        <w:t xml:space="preserve"> e Encaminhamento DIGER (id. </w:t>
      </w:r>
      <w:r w:rsidR="00A96FD4" w:rsidRPr="00A96FD4">
        <w:rPr>
          <w:rFonts w:ascii="Times New Roman" w:eastAsia="Times New Roman" w:hAnsi="Times New Roman" w:cs="Times New Roman"/>
          <w:color w:val="000000"/>
          <w:sz w:val="24"/>
          <w:szCs w:val="24"/>
          <w:lang w:eastAsia="pt-BR"/>
        </w:rPr>
        <w:t>1635559</w:t>
      </w:r>
      <w:r w:rsidR="00A96FD4">
        <w:rPr>
          <w:rFonts w:ascii="Times New Roman" w:eastAsia="Times New Roman" w:hAnsi="Times New Roman" w:cs="Times New Roman"/>
          <w:color w:val="000000"/>
          <w:sz w:val="24"/>
          <w:szCs w:val="24"/>
          <w:lang w:eastAsia="pt-BR"/>
        </w:rPr>
        <w:t>)</w:t>
      </w:r>
      <w:r w:rsidRPr="00671E7A">
        <w:rPr>
          <w:rFonts w:ascii="Times New Roman" w:eastAsia="Times New Roman" w:hAnsi="Times New Roman" w:cs="Times New Roman"/>
          <w:color w:val="000000"/>
          <w:sz w:val="24"/>
          <w:szCs w:val="24"/>
          <w:lang w:eastAsia="pt-BR"/>
        </w:rPr>
        <w:t>, foi determinada a retomada do processo de contratação com tratamento prioritário, com o encaminhamento dos autos às unidades competentes para classificação orçamentária e adoção das providências necessárias à condução do procedimento licitatório.</w:t>
      </w:r>
    </w:p>
    <w:p w14:paraId="4B1C5EEC" w14:textId="5C13F1B6" w:rsidR="00BD508D" w:rsidRDefault="00BD508D" w:rsidP="00BD508D">
      <w:pPr>
        <w:spacing w:before="240"/>
        <w:ind w:right="119" w:firstLine="708"/>
        <w:jc w:val="both"/>
        <w:rPr>
          <w:rFonts w:ascii="Times New Roman" w:eastAsia="Times New Roman" w:hAnsi="Times New Roman" w:cs="Times New Roman"/>
          <w:color w:val="000000"/>
          <w:sz w:val="24"/>
          <w:szCs w:val="24"/>
          <w:lang w:eastAsia="pt-BR"/>
        </w:rPr>
      </w:pPr>
      <w:r w:rsidRPr="00BD508D">
        <w:rPr>
          <w:rFonts w:ascii="Times New Roman" w:eastAsia="Times New Roman" w:hAnsi="Times New Roman" w:cs="Times New Roman"/>
          <w:color w:val="000000"/>
          <w:sz w:val="24"/>
          <w:szCs w:val="24"/>
          <w:lang w:eastAsia="pt-BR"/>
        </w:rPr>
        <w:t>Diante do exposto, observa-se que o cenário ainda demanda atenção significativa, especialmente em razão dos riscos associados à fidedignidade dos registros patrimoniais e aos possíveis reflexos nas demonstrações contábeis da entidade.</w:t>
      </w:r>
    </w:p>
    <w:p w14:paraId="45D94C4A" w14:textId="77777777" w:rsidR="00BD508D" w:rsidRPr="00B74E47" w:rsidRDefault="00BD508D" w:rsidP="00BD508D">
      <w:pPr>
        <w:ind w:right="119"/>
        <w:jc w:val="both"/>
        <w:rPr>
          <w:rFonts w:ascii="Times New Roman" w:eastAsia="Times New Roman" w:hAnsi="Times New Roman" w:cs="Times New Roman"/>
          <w:color w:val="000000"/>
          <w:sz w:val="24"/>
          <w:szCs w:val="24"/>
          <w:lang w:eastAsia="pt-BR"/>
        </w:rPr>
      </w:pPr>
    </w:p>
    <w:p w14:paraId="7A8EACC9" w14:textId="77777777" w:rsidR="001F2898" w:rsidRPr="00A77BBB" w:rsidRDefault="00A61C3A" w:rsidP="004B1E97">
      <w:pPr>
        <w:spacing w:before="240"/>
        <w:ind w:right="120" w:firstLine="0"/>
        <w:jc w:val="both"/>
        <w:rPr>
          <w:rFonts w:ascii="Times New Roman" w:eastAsia="Times New Roman" w:hAnsi="Times New Roman" w:cs="Times New Roman"/>
          <w:b/>
          <w:bCs/>
          <w:sz w:val="24"/>
          <w:szCs w:val="24"/>
          <w:lang w:eastAsia="pt-BR"/>
        </w:rPr>
      </w:pPr>
      <w:r w:rsidRPr="000379BF">
        <w:rPr>
          <w:rFonts w:ascii="Times New Roman" w:eastAsia="Times New Roman" w:hAnsi="Times New Roman" w:cs="Times New Roman"/>
          <w:b/>
          <w:bCs/>
          <w:sz w:val="24"/>
          <w:szCs w:val="24"/>
          <w:lang w:eastAsia="pt-BR"/>
        </w:rPr>
        <w:t>7. CONCLUSÕES</w:t>
      </w:r>
    </w:p>
    <w:p w14:paraId="4E8796BA" w14:textId="64918B1E" w:rsidR="001F2898" w:rsidRPr="00A77BBB" w:rsidRDefault="00203C85" w:rsidP="003E7A05">
      <w:pPr>
        <w:spacing w:before="240"/>
        <w:ind w:right="120" w:firstLine="708"/>
        <w:jc w:val="both"/>
        <w:rPr>
          <w:rFonts w:ascii="Times New Roman" w:eastAsia="Times New Roman" w:hAnsi="Times New Roman" w:cs="Times New Roman"/>
          <w:color w:val="000000"/>
          <w:sz w:val="24"/>
          <w:szCs w:val="24"/>
          <w:lang w:eastAsia="pt-BR"/>
        </w:rPr>
      </w:pPr>
      <w:r w:rsidRPr="00A77BBB">
        <w:rPr>
          <w:rFonts w:ascii="Times New Roman" w:eastAsia="Times New Roman" w:hAnsi="Times New Roman" w:cs="Times New Roman"/>
          <w:color w:val="000000"/>
          <w:sz w:val="24"/>
          <w:szCs w:val="24"/>
          <w:lang w:eastAsia="pt-BR"/>
        </w:rPr>
        <w:t>Realiz</w:t>
      </w:r>
      <w:r w:rsidR="00133B3F" w:rsidRPr="00A77BBB">
        <w:rPr>
          <w:rFonts w:ascii="Times New Roman" w:eastAsia="Times New Roman" w:hAnsi="Times New Roman" w:cs="Times New Roman"/>
          <w:color w:val="000000"/>
          <w:sz w:val="24"/>
          <w:szCs w:val="24"/>
          <w:lang w:eastAsia="pt-BR"/>
        </w:rPr>
        <w:t>ou</w:t>
      </w:r>
      <w:r w:rsidR="00133B3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se</w:t>
      </w:r>
      <w:r w:rsidR="00A61C3A" w:rsidRPr="000379BF">
        <w:rPr>
          <w:rFonts w:ascii="Times New Roman" w:eastAsia="Times New Roman" w:hAnsi="Times New Roman" w:cs="Times New Roman"/>
          <w:color w:val="000000"/>
          <w:sz w:val="24"/>
          <w:szCs w:val="24"/>
          <w:lang w:eastAsia="pt-BR"/>
        </w:rPr>
        <w:t xml:space="preserve">, ao amparo da competência estabelecida no art. 74, inciso IV, da </w:t>
      </w:r>
      <w:hyperlink r:id="rId50" w:tgtFrame="_blank" w:history="1">
        <w:r w:rsidR="00726034" w:rsidRPr="7CD3D9F9">
          <w:rPr>
            <w:rFonts w:ascii="Times New Roman" w:eastAsia="Times New Roman" w:hAnsi="Times New Roman" w:cs="Times New Roman"/>
            <w:color w:val="0000FF"/>
            <w:sz w:val="24"/>
            <w:szCs w:val="24"/>
            <w:u w:val="single"/>
            <w:lang w:eastAsia="pt-BR"/>
          </w:rPr>
          <w:t>Constituição Federal</w:t>
        </w:r>
      </w:hyperlink>
      <w:r w:rsidR="00A61C3A" w:rsidRPr="000379BF">
        <w:rPr>
          <w:rFonts w:ascii="Times New Roman" w:eastAsia="Times New Roman" w:hAnsi="Times New Roman" w:cs="Times New Roman"/>
          <w:color w:val="000000"/>
          <w:sz w:val="24"/>
          <w:szCs w:val="24"/>
          <w:lang w:eastAsia="pt-BR"/>
        </w:rPr>
        <w:t xml:space="preserve">, e nos termos do art. 13, § 2º, da </w:t>
      </w:r>
      <w:hyperlink r:id="rId51" w:tgtFrame="_blank" w:history="1">
        <w:r w:rsidR="00726034" w:rsidRPr="00B02DE4">
          <w:rPr>
            <w:rFonts w:ascii="Times New Roman" w:eastAsia="Times New Roman" w:hAnsi="Times New Roman" w:cs="Times New Roman"/>
            <w:color w:val="0000FF"/>
            <w:sz w:val="24"/>
            <w:szCs w:val="24"/>
            <w:u w:val="single"/>
            <w:lang w:eastAsia="pt-BR"/>
          </w:rPr>
          <w:t>Instrução Normativa TCU 84, de 22 de abril de 2020</w:t>
        </w:r>
      </w:hyperlink>
      <w:r w:rsidR="00A61C3A" w:rsidRPr="000379BF">
        <w:rPr>
          <w:rFonts w:ascii="Times New Roman" w:eastAsia="Times New Roman" w:hAnsi="Times New Roman" w:cs="Times New Roman"/>
          <w:color w:val="000000"/>
          <w:sz w:val="24"/>
          <w:szCs w:val="24"/>
          <w:lang w:eastAsia="pt-BR"/>
        </w:rPr>
        <w:t xml:space="preserve">, </w:t>
      </w:r>
      <w:r w:rsidR="00A61C3A" w:rsidRPr="000379BF">
        <w:rPr>
          <w:rFonts w:ascii="Times New Roman" w:eastAsia="Times New Roman" w:hAnsi="Times New Roman" w:cs="Times New Roman"/>
          <w:color w:val="000000"/>
          <w:sz w:val="24"/>
          <w:szCs w:val="24"/>
          <w:lang w:eastAsia="pt-BR"/>
        </w:rPr>
        <w:lastRenderedPageBreak/>
        <w:t>auditoria financeira integrada com conformidade nas conta</w:t>
      </w:r>
      <w:r w:rsidR="00944F1F">
        <w:rPr>
          <w:rFonts w:ascii="Times New Roman" w:eastAsia="Times New Roman" w:hAnsi="Times New Roman" w:cs="Times New Roman"/>
          <w:color w:val="000000"/>
          <w:sz w:val="24"/>
          <w:szCs w:val="24"/>
          <w:lang w:eastAsia="pt-BR"/>
        </w:rPr>
        <w:t>s relat</w:t>
      </w:r>
      <w:r w:rsidR="00A5228D">
        <w:rPr>
          <w:rFonts w:ascii="Times New Roman" w:eastAsia="Times New Roman" w:hAnsi="Times New Roman" w:cs="Times New Roman"/>
          <w:color w:val="000000"/>
          <w:sz w:val="24"/>
          <w:szCs w:val="24"/>
          <w:lang w:eastAsia="pt-BR"/>
        </w:rPr>
        <w:t>ivas ao exercício de 202</w:t>
      </w:r>
      <w:r w:rsidR="00A67F9B">
        <w:rPr>
          <w:rFonts w:ascii="Times New Roman" w:eastAsia="Times New Roman" w:hAnsi="Times New Roman" w:cs="Times New Roman"/>
          <w:color w:val="000000"/>
          <w:sz w:val="24"/>
          <w:szCs w:val="24"/>
          <w:lang w:eastAsia="pt-BR"/>
        </w:rPr>
        <w:t>5</w:t>
      </w:r>
      <w:r w:rsidR="00A61C3A" w:rsidRPr="000379BF">
        <w:rPr>
          <w:rFonts w:ascii="Times New Roman" w:eastAsia="Times New Roman" w:hAnsi="Times New Roman" w:cs="Times New Roman"/>
          <w:color w:val="000000"/>
          <w:sz w:val="24"/>
          <w:szCs w:val="24"/>
          <w:lang w:eastAsia="pt-BR"/>
        </w:rPr>
        <w:t xml:space="preserve"> dos responsáveis pelo Tribunal Regional Federal da 6ª Região.</w:t>
      </w:r>
    </w:p>
    <w:p w14:paraId="42AE3337" w14:textId="27FA1F51" w:rsidR="001F2898" w:rsidRDefault="00A61C3A" w:rsidP="003E7A05">
      <w:pPr>
        <w:spacing w:before="240"/>
        <w:ind w:right="120" w:firstLine="708"/>
        <w:jc w:val="both"/>
        <w:rPr>
          <w:rFonts w:ascii="Times New Roman" w:eastAsia="Times New Roman" w:hAnsi="Times New Roman" w:cs="Times New Roman"/>
          <w:color w:val="000000"/>
          <w:sz w:val="24"/>
          <w:szCs w:val="24"/>
          <w:lang w:eastAsia="pt-BR"/>
        </w:rPr>
      </w:pPr>
      <w:r w:rsidRPr="000379BF">
        <w:rPr>
          <w:rFonts w:ascii="Times New Roman" w:eastAsia="Times New Roman" w:hAnsi="Times New Roman" w:cs="Times New Roman"/>
          <w:color w:val="000000"/>
          <w:sz w:val="24"/>
          <w:szCs w:val="24"/>
          <w:lang w:eastAsia="pt-BR"/>
        </w:rPr>
        <w:t xml:space="preserve">As contas auditadas </w:t>
      </w:r>
      <w:r w:rsidR="00103D0A">
        <w:rPr>
          <w:rFonts w:ascii="Times New Roman" w:eastAsia="Times New Roman" w:hAnsi="Times New Roman" w:cs="Times New Roman"/>
          <w:color w:val="000000"/>
          <w:sz w:val="24"/>
          <w:szCs w:val="24"/>
          <w:lang w:eastAsia="pt-BR"/>
        </w:rPr>
        <w:t>compreenderam</w:t>
      </w:r>
      <w:r w:rsidR="00944F1F">
        <w:rPr>
          <w:rFonts w:ascii="Times New Roman" w:eastAsia="Times New Roman" w:hAnsi="Times New Roman" w:cs="Times New Roman"/>
          <w:color w:val="000000"/>
          <w:sz w:val="24"/>
          <w:szCs w:val="24"/>
          <w:lang w:eastAsia="pt-BR"/>
        </w:rPr>
        <w:t xml:space="preserve"> os Balanços Patrimonial, </w:t>
      </w:r>
      <w:r w:rsidRPr="000379BF">
        <w:rPr>
          <w:rFonts w:ascii="Times New Roman" w:eastAsia="Times New Roman" w:hAnsi="Times New Roman" w:cs="Times New Roman"/>
          <w:color w:val="000000"/>
          <w:sz w:val="24"/>
          <w:szCs w:val="24"/>
          <w:lang w:eastAsia="pt-BR"/>
        </w:rPr>
        <w:t>Orçamentário</w:t>
      </w:r>
      <w:r w:rsidR="00944F1F">
        <w:rPr>
          <w:rFonts w:ascii="Times New Roman" w:eastAsia="Times New Roman" w:hAnsi="Times New Roman" w:cs="Times New Roman"/>
          <w:color w:val="000000"/>
          <w:sz w:val="24"/>
          <w:szCs w:val="24"/>
          <w:lang w:eastAsia="pt-BR"/>
        </w:rPr>
        <w:t xml:space="preserve"> e Financeiro</w:t>
      </w:r>
      <w:r w:rsidR="00792F4F">
        <w:rPr>
          <w:rFonts w:ascii="Times New Roman" w:eastAsia="Times New Roman" w:hAnsi="Times New Roman" w:cs="Times New Roman"/>
          <w:color w:val="000000"/>
          <w:sz w:val="24"/>
          <w:szCs w:val="24"/>
          <w:lang w:eastAsia="pt-BR"/>
        </w:rPr>
        <w:t xml:space="preserve"> em 31 de dezembro de 202</w:t>
      </w:r>
      <w:r w:rsidR="00A67F9B">
        <w:rPr>
          <w:rFonts w:ascii="Times New Roman" w:eastAsia="Times New Roman" w:hAnsi="Times New Roman" w:cs="Times New Roman"/>
          <w:color w:val="000000"/>
          <w:sz w:val="24"/>
          <w:szCs w:val="24"/>
          <w:lang w:eastAsia="pt-BR"/>
        </w:rPr>
        <w:t>5</w:t>
      </w:r>
      <w:r w:rsidRPr="000379BF">
        <w:rPr>
          <w:rFonts w:ascii="Times New Roman" w:eastAsia="Times New Roman" w:hAnsi="Times New Roman" w:cs="Times New Roman"/>
          <w:color w:val="000000"/>
          <w:sz w:val="24"/>
          <w:szCs w:val="24"/>
          <w:lang w:eastAsia="pt-BR"/>
        </w:rPr>
        <w:t>, as Demonstrações das Variações Patrimoniais</w:t>
      </w:r>
      <w:r w:rsidR="00944F1F">
        <w:rPr>
          <w:rFonts w:ascii="Times New Roman" w:eastAsia="Times New Roman" w:hAnsi="Times New Roman" w:cs="Times New Roman"/>
          <w:color w:val="000000"/>
          <w:sz w:val="24"/>
          <w:szCs w:val="24"/>
          <w:lang w:eastAsia="pt-BR"/>
        </w:rPr>
        <w:t xml:space="preserve"> e dos Fluxos de Caixa</w:t>
      </w:r>
      <w:r w:rsidRPr="000379BF">
        <w:rPr>
          <w:rFonts w:ascii="Times New Roman" w:eastAsia="Times New Roman" w:hAnsi="Times New Roman" w:cs="Times New Roman"/>
          <w:color w:val="000000"/>
          <w:sz w:val="24"/>
          <w:szCs w:val="24"/>
          <w:lang w:eastAsia="pt-BR"/>
        </w:rPr>
        <w:t xml:space="preserve"> para o exercício findo nessa data, com as correspondentes Notas Explicativas, incluindo o resumo das principais políticas contábeis, bem como as operações, transações </w:t>
      </w:r>
      <w:r w:rsidR="003D31EE">
        <w:rPr>
          <w:rFonts w:ascii="Times New Roman" w:eastAsia="Times New Roman" w:hAnsi="Times New Roman" w:cs="Times New Roman"/>
          <w:color w:val="000000"/>
          <w:sz w:val="24"/>
          <w:szCs w:val="24"/>
          <w:lang w:eastAsia="pt-BR"/>
        </w:rPr>
        <w:t>e</w:t>
      </w:r>
      <w:r w:rsidRPr="000379BF">
        <w:rPr>
          <w:rFonts w:ascii="Times New Roman" w:eastAsia="Times New Roman" w:hAnsi="Times New Roman" w:cs="Times New Roman"/>
          <w:color w:val="000000"/>
          <w:sz w:val="24"/>
          <w:szCs w:val="24"/>
          <w:lang w:eastAsia="pt-BR"/>
        </w:rPr>
        <w:t xml:space="preserve"> atos de gestão relevantes subjacentes às demonstrações contábeis. </w:t>
      </w:r>
    </w:p>
    <w:p w14:paraId="2FEF900F" w14:textId="54ED2EA9" w:rsidR="001F2898" w:rsidRPr="00A77BBB" w:rsidRDefault="001333A9" w:rsidP="003E7A05">
      <w:pPr>
        <w:spacing w:before="240"/>
        <w:ind w:right="120"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auditoria teve como o</w:t>
      </w:r>
      <w:r w:rsidR="005355F8">
        <w:rPr>
          <w:rFonts w:ascii="Times New Roman" w:eastAsia="Times New Roman" w:hAnsi="Times New Roman" w:cs="Times New Roman"/>
          <w:color w:val="000000"/>
          <w:sz w:val="24"/>
          <w:szCs w:val="24"/>
          <w:lang w:eastAsia="pt-BR"/>
        </w:rPr>
        <w:t>bjetivo</w:t>
      </w:r>
      <w:r w:rsidR="00A61C3A" w:rsidRPr="000379BF">
        <w:rPr>
          <w:rFonts w:ascii="Times New Roman" w:eastAsia="Times New Roman" w:hAnsi="Times New Roman" w:cs="Times New Roman"/>
          <w:color w:val="000000"/>
          <w:sz w:val="24"/>
          <w:szCs w:val="24"/>
          <w:lang w:eastAsia="pt-BR"/>
        </w:rPr>
        <w:t xml:space="preserve"> obter segurança razoável para expressar conclusões sobre se as demonstrações contábeis acima referidas apresentam adequadamente, em todos os aspectos relevantes, a posição patrimonial, financeira e orçamentária d</w:t>
      </w:r>
      <w:r w:rsidR="00442E85">
        <w:rPr>
          <w:rFonts w:ascii="Times New Roman" w:eastAsia="Times New Roman" w:hAnsi="Times New Roman" w:cs="Times New Roman"/>
          <w:color w:val="000000"/>
          <w:sz w:val="24"/>
          <w:szCs w:val="24"/>
          <w:lang w:eastAsia="pt-BR"/>
        </w:rPr>
        <w:t>o TRF6 em 31 de dezembr</w:t>
      </w:r>
      <w:r w:rsidR="00A5228D">
        <w:rPr>
          <w:rFonts w:ascii="Times New Roman" w:eastAsia="Times New Roman" w:hAnsi="Times New Roman" w:cs="Times New Roman"/>
          <w:color w:val="000000"/>
          <w:sz w:val="24"/>
          <w:szCs w:val="24"/>
          <w:lang w:eastAsia="pt-BR"/>
        </w:rPr>
        <w:t>o de 202</w:t>
      </w:r>
      <w:r w:rsidR="00A67F9B">
        <w:rPr>
          <w:rFonts w:ascii="Times New Roman" w:eastAsia="Times New Roman" w:hAnsi="Times New Roman" w:cs="Times New Roman"/>
          <w:color w:val="000000"/>
          <w:sz w:val="24"/>
          <w:szCs w:val="24"/>
          <w:lang w:eastAsia="pt-BR"/>
        </w:rPr>
        <w:t>5</w:t>
      </w:r>
      <w:r w:rsidR="00A61C3A" w:rsidRPr="000379BF">
        <w:rPr>
          <w:rFonts w:ascii="Times New Roman" w:eastAsia="Times New Roman" w:hAnsi="Times New Roman" w:cs="Times New Roman"/>
          <w:color w:val="000000"/>
          <w:sz w:val="24"/>
          <w:szCs w:val="24"/>
          <w:lang w:eastAsia="pt-BR"/>
        </w:rPr>
        <w:t>, de acordo com as práticas contábeis adotadas no Brasil aplicadas ao setor público, e se as operações, transações ou os atos de gestão relevantes subjacentes estão em conformidade, em todos os aspectos relevantes, com as leis e regulamentos aplicáveis e com os princípios de administração pública que regem a gestão financeira responsável e a conduta de agentes públicos.</w:t>
      </w:r>
    </w:p>
    <w:p w14:paraId="14766971" w14:textId="77777777" w:rsidR="001F2898" w:rsidRDefault="001F2898" w:rsidP="003E7A05">
      <w:pPr>
        <w:ind w:right="119" w:firstLine="0"/>
        <w:jc w:val="both"/>
        <w:rPr>
          <w:rFonts w:ascii="Times New Roman" w:eastAsia="Times New Roman" w:hAnsi="Times New Roman" w:cs="Times New Roman"/>
          <w:sz w:val="24"/>
          <w:szCs w:val="24"/>
          <w:lang w:eastAsia="pt-BR"/>
        </w:rPr>
      </w:pPr>
    </w:p>
    <w:p w14:paraId="1DB7CD4C" w14:textId="77777777" w:rsidR="001F2898" w:rsidRPr="00A77BBB" w:rsidRDefault="00A61C3A" w:rsidP="004B1E97">
      <w:pPr>
        <w:spacing w:before="240"/>
        <w:ind w:right="120" w:firstLine="0"/>
        <w:jc w:val="both"/>
        <w:rPr>
          <w:rFonts w:ascii="Times New Roman" w:eastAsia="Times New Roman" w:hAnsi="Times New Roman" w:cs="Times New Roman"/>
          <w:b/>
          <w:bCs/>
          <w:sz w:val="24"/>
          <w:szCs w:val="24"/>
          <w:lang w:eastAsia="pt-BR"/>
        </w:rPr>
      </w:pPr>
      <w:bookmarkStart w:id="14" w:name="_Toc67064374"/>
      <w:r w:rsidRPr="00A77BBB">
        <w:rPr>
          <w:rFonts w:ascii="Times New Roman" w:eastAsia="Times New Roman" w:hAnsi="Times New Roman" w:cs="Times New Roman"/>
          <w:b/>
          <w:bCs/>
          <w:sz w:val="24"/>
          <w:szCs w:val="24"/>
          <w:lang w:eastAsia="pt-BR"/>
        </w:rPr>
        <w:t>7.1</w:t>
      </w:r>
      <w:r w:rsidR="00C40E28">
        <w:rPr>
          <w:rFonts w:ascii="Times New Roman" w:eastAsia="Times New Roman" w:hAnsi="Times New Roman" w:cs="Times New Roman"/>
          <w:b/>
          <w:bCs/>
          <w:sz w:val="24"/>
          <w:szCs w:val="24"/>
          <w:lang w:eastAsia="pt-BR"/>
        </w:rPr>
        <w:t>.</w:t>
      </w:r>
      <w:r w:rsidRPr="00A77BBB">
        <w:rPr>
          <w:rFonts w:ascii="Times New Roman" w:eastAsia="Times New Roman" w:hAnsi="Times New Roman" w:cs="Times New Roman"/>
          <w:b/>
          <w:bCs/>
          <w:sz w:val="24"/>
          <w:szCs w:val="24"/>
          <w:lang w:eastAsia="pt-BR"/>
        </w:rPr>
        <w:t xml:space="preserve"> Segurança razoável e suporte às conclusões</w:t>
      </w:r>
      <w:bookmarkEnd w:id="14"/>
    </w:p>
    <w:p w14:paraId="2F4BADC2" w14:textId="77777777" w:rsidR="001F2898" w:rsidRPr="00A77BBB" w:rsidRDefault="00A61C3A" w:rsidP="003E7A05">
      <w:pPr>
        <w:spacing w:before="240"/>
        <w:ind w:right="120" w:firstLine="708"/>
        <w:jc w:val="both"/>
        <w:rPr>
          <w:rFonts w:ascii="Times New Roman" w:eastAsia="Times New Roman" w:hAnsi="Times New Roman" w:cs="Times New Roman"/>
          <w:color w:val="000000"/>
          <w:sz w:val="24"/>
          <w:szCs w:val="24"/>
          <w:lang w:eastAsia="pt-BR"/>
        </w:rPr>
      </w:pPr>
      <w:r w:rsidRPr="00A77BBB">
        <w:rPr>
          <w:rFonts w:ascii="Times New Roman" w:eastAsia="Times New Roman" w:hAnsi="Times New Roman" w:cs="Times New Roman"/>
          <w:color w:val="000000"/>
          <w:sz w:val="24"/>
          <w:szCs w:val="24"/>
          <w:lang w:eastAsia="pt-BR"/>
        </w:rPr>
        <w:t xml:space="preserve">Segurança </w:t>
      </w:r>
      <w:r w:rsidRPr="000379BF">
        <w:rPr>
          <w:rFonts w:ascii="Times New Roman" w:eastAsia="Times New Roman" w:hAnsi="Times New Roman" w:cs="Times New Roman"/>
          <w:color w:val="000000"/>
          <w:sz w:val="24"/>
          <w:szCs w:val="24"/>
          <w:lang w:eastAsia="pt-BR"/>
        </w:rPr>
        <w:t>razoável é um alto nível de segurança, mas não uma garantia absoluta</w:t>
      </w:r>
      <w:r w:rsidR="003D31EE">
        <w:rPr>
          <w:rFonts w:ascii="Times New Roman" w:eastAsia="Times New Roman" w:hAnsi="Times New Roman" w:cs="Times New Roman"/>
          <w:color w:val="000000"/>
          <w:sz w:val="24"/>
          <w:szCs w:val="24"/>
          <w:lang w:eastAsia="pt-BR"/>
        </w:rPr>
        <w:t>,</w:t>
      </w:r>
      <w:r w:rsidRPr="000379BF">
        <w:rPr>
          <w:rFonts w:ascii="Times New Roman" w:eastAsia="Times New Roman" w:hAnsi="Times New Roman" w:cs="Times New Roman"/>
          <w:color w:val="000000"/>
          <w:sz w:val="24"/>
          <w:szCs w:val="24"/>
          <w:lang w:eastAsia="pt-BR"/>
        </w:rPr>
        <w:t xml:space="preserve"> de que a auditoria, conduzida de acordo com as normas brasileiras e internacionais de auditoria, sempre irá detectar uma distorção ou um desvio de conformidade relevante quando existir. As distorções nas demonstrações contábeis e os desvios de conformidade podem ser decorrentes de fraude ou erro e são considerados relevantes quando, individualmente ou em conjunto, possam influenciar, dentro de uma perspectiva razoável, as decisões tomadas com base nas contas auditadas.</w:t>
      </w:r>
    </w:p>
    <w:p w14:paraId="0555BA74" w14:textId="77777777" w:rsidR="001F2898" w:rsidRPr="00A77BBB" w:rsidRDefault="00A61C3A" w:rsidP="003E7A05">
      <w:pPr>
        <w:spacing w:before="240"/>
        <w:ind w:right="120" w:firstLine="708"/>
        <w:jc w:val="both"/>
        <w:rPr>
          <w:rFonts w:ascii="Times New Roman" w:eastAsia="Times New Roman" w:hAnsi="Times New Roman" w:cs="Times New Roman"/>
          <w:color w:val="000000"/>
          <w:sz w:val="24"/>
          <w:szCs w:val="24"/>
          <w:lang w:eastAsia="pt-BR"/>
        </w:rPr>
      </w:pPr>
      <w:r w:rsidRPr="000379BF">
        <w:rPr>
          <w:rFonts w:ascii="Times New Roman" w:eastAsia="Times New Roman" w:hAnsi="Times New Roman" w:cs="Times New Roman"/>
          <w:color w:val="000000"/>
          <w:sz w:val="24"/>
          <w:szCs w:val="24"/>
          <w:lang w:eastAsia="pt-BR"/>
        </w:rPr>
        <w:t xml:space="preserve">Conforme exigido pelo item 26 da </w:t>
      </w:r>
      <w:r w:rsidRPr="00033007">
        <w:rPr>
          <w:rFonts w:ascii="Times New Roman" w:eastAsia="Times New Roman" w:hAnsi="Times New Roman" w:cs="Times New Roman"/>
          <w:color w:val="000000"/>
          <w:sz w:val="24"/>
          <w:szCs w:val="24"/>
          <w:lang w:eastAsia="pt-BR"/>
        </w:rPr>
        <w:t>ISA</w:t>
      </w:r>
      <w:r w:rsidR="00726034" w:rsidRPr="00726034">
        <w:rPr>
          <w:rFonts w:ascii="Times New Roman" w:hAnsi="Times New Roman" w:cs="Times New Roman"/>
          <w:color w:val="000000"/>
          <w:sz w:val="24"/>
          <w:szCs w:val="24"/>
        </w:rPr>
        <w:t>/</w:t>
      </w:r>
      <w:hyperlink r:id="rId52" w:tgtFrame="_blank" w:history="1">
        <w:r w:rsidR="00726034" w:rsidRPr="00726034">
          <w:rPr>
            <w:rStyle w:val="Hyperlink"/>
            <w:rFonts w:ascii="Times New Roman" w:hAnsi="Times New Roman" w:cs="Times New Roman"/>
            <w:sz w:val="24"/>
            <w:szCs w:val="24"/>
          </w:rPr>
          <w:t>NBC TA 330</w:t>
        </w:r>
      </w:hyperlink>
      <w:r w:rsidRPr="00033007">
        <w:rPr>
          <w:rFonts w:ascii="Times New Roman" w:eastAsia="Times New Roman" w:hAnsi="Times New Roman" w:cs="Times New Roman"/>
          <w:color w:val="000000"/>
          <w:sz w:val="24"/>
          <w:szCs w:val="24"/>
          <w:lang w:eastAsia="pt-BR"/>
        </w:rPr>
        <w:t>/ISSAI</w:t>
      </w:r>
      <w:r w:rsidRPr="000379BF">
        <w:rPr>
          <w:rFonts w:ascii="Times New Roman" w:eastAsia="Times New Roman" w:hAnsi="Times New Roman" w:cs="Times New Roman"/>
          <w:color w:val="000000"/>
          <w:sz w:val="24"/>
          <w:szCs w:val="24"/>
          <w:lang w:eastAsia="pt-BR"/>
        </w:rPr>
        <w:t xml:space="preserve"> 2330 – Resposta do</w:t>
      </w:r>
      <w:r w:rsidR="003D31EE">
        <w:rPr>
          <w:rFonts w:ascii="Times New Roman" w:eastAsia="Times New Roman" w:hAnsi="Times New Roman" w:cs="Times New Roman"/>
          <w:color w:val="000000"/>
          <w:sz w:val="24"/>
          <w:szCs w:val="24"/>
          <w:lang w:eastAsia="pt-BR"/>
        </w:rPr>
        <w:t xml:space="preserve"> </w:t>
      </w:r>
      <w:r w:rsidR="003F267F">
        <w:rPr>
          <w:rFonts w:ascii="Times New Roman" w:eastAsia="Times New Roman" w:hAnsi="Times New Roman" w:cs="Times New Roman"/>
          <w:color w:val="000000"/>
          <w:sz w:val="24"/>
          <w:szCs w:val="24"/>
          <w:lang w:eastAsia="pt-BR"/>
        </w:rPr>
        <w:t>A</w:t>
      </w:r>
      <w:r w:rsidRPr="000379BF">
        <w:rPr>
          <w:rFonts w:ascii="Times New Roman" w:eastAsia="Times New Roman" w:hAnsi="Times New Roman" w:cs="Times New Roman"/>
          <w:color w:val="000000"/>
          <w:sz w:val="24"/>
          <w:szCs w:val="24"/>
          <w:lang w:eastAsia="pt-BR"/>
        </w:rPr>
        <w:t>uditor aos Riscos Avaliados</w:t>
      </w:r>
      <w:r w:rsidR="00771ACB">
        <w:rPr>
          <w:rFonts w:ascii="Times New Roman" w:eastAsia="Times New Roman" w:hAnsi="Times New Roman" w:cs="Times New Roman"/>
          <w:color w:val="000000"/>
          <w:sz w:val="24"/>
          <w:szCs w:val="24"/>
          <w:lang w:eastAsia="pt-BR"/>
        </w:rPr>
        <w:t>,</w:t>
      </w:r>
      <w:r w:rsidRPr="000379BF">
        <w:rPr>
          <w:rFonts w:ascii="Times New Roman" w:eastAsia="Times New Roman" w:hAnsi="Times New Roman" w:cs="Times New Roman"/>
          <w:color w:val="000000"/>
          <w:sz w:val="24"/>
          <w:szCs w:val="24"/>
          <w:lang w:eastAsia="pt-BR"/>
        </w:rPr>
        <w:t xml:space="preserve"> foi obtida evidência de auditoria apropriada e suficiente para formar as conclusões da auditoria.</w:t>
      </w:r>
    </w:p>
    <w:p w14:paraId="44DEB8DA" w14:textId="05FDEA8A" w:rsidR="001F2898" w:rsidRPr="00A77BBB" w:rsidRDefault="00C0512A" w:rsidP="003E7A05">
      <w:pPr>
        <w:spacing w:before="240"/>
        <w:ind w:right="120" w:firstLine="708"/>
        <w:jc w:val="both"/>
        <w:rPr>
          <w:rFonts w:ascii="Times New Roman" w:eastAsia="Times New Roman" w:hAnsi="Times New Roman" w:cs="Times New Roman"/>
          <w:color w:val="000000"/>
          <w:sz w:val="24"/>
          <w:szCs w:val="24"/>
          <w:lang w:eastAsia="pt-BR"/>
        </w:rPr>
      </w:pPr>
      <w:r w:rsidRPr="00A77BBB">
        <w:rPr>
          <w:rFonts w:ascii="Times New Roman" w:eastAsia="Times New Roman" w:hAnsi="Times New Roman" w:cs="Times New Roman"/>
          <w:color w:val="000000"/>
          <w:sz w:val="24"/>
          <w:szCs w:val="24"/>
          <w:lang w:eastAsia="pt-BR"/>
        </w:rPr>
        <w:t>A</w:t>
      </w:r>
      <w:r w:rsidR="00A61C3A" w:rsidRPr="00A77BBB">
        <w:rPr>
          <w:rFonts w:ascii="Times New Roman" w:eastAsia="Times New Roman" w:hAnsi="Times New Roman" w:cs="Times New Roman"/>
          <w:color w:val="000000"/>
          <w:sz w:val="24"/>
          <w:szCs w:val="24"/>
          <w:lang w:eastAsia="pt-BR"/>
        </w:rPr>
        <w:t>s avaliações específicas requeridas pelos itens 12 a 15 da ISA</w:t>
      </w:r>
      <w:r w:rsidR="00726034" w:rsidRPr="00726034">
        <w:rPr>
          <w:rFonts w:ascii="Times New Roman" w:hAnsi="Times New Roman" w:cs="Times New Roman"/>
          <w:color w:val="000000"/>
          <w:sz w:val="24"/>
          <w:szCs w:val="24"/>
        </w:rPr>
        <w:t>/</w:t>
      </w:r>
      <w:hyperlink r:id="rId53" w:tgtFrame="_blank" w:history="1">
        <w:r w:rsidR="00726034" w:rsidRPr="00726034">
          <w:rPr>
            <w:rStyle w:val="Hyperlink"/>
            <w:rFonts w:ascii="Times New Roman" w:hAnsi="Times New Roman" w:cs="Times New Roman"/>
            <w:sz w:val="24"/>
            <w:szCs w:val="24"/>
          </w:rPr>
          <w:t>NBC TA 700</w:t>
        </w:r>
      </w:hyperlink>
      <w:r w:rsidR="00A61C3A" w:rsidRPr="00A77BBB">
        <w:rPr>
          <w:rFonts w:ascii="Times New Roman" w:eastAsia="Times New Roman" w:hAnsi="Times New Roman" w:cs="Times New Roman"/>
          <w:color w:val="000000"/>
          <w:sz w:val="24"/>
          <w:szCs w:val="24"/>
          <w:lang w:eastAsia="pt-BR"/>
        </w:rPr>
        <w:t xml:space="preserve">/ISSAI 2700 – Formação de </w:t>
      </w:r>
      <w:r w:rsidR="003F267F" w:rsidRPr="00A77BBB">
        <w:rPr>
          <w:rFonts w:ascii="Times New Roman" w:eastAsia="Times New Roman" w:hAnsi="Times New Roman" w:cs="Times New Roman"/>
          <w:color w:val="000000"/>
          <w:sz w:val="24"/>
          <w:szCs w:val="24"/>
          <w:lang w:eastAsia="pt-BR"/>
        </w:rPr>
        <w:t>O</w:t>
      </w:r>
      <w:r w:rsidR="00A61C3A" w:rsidRPr="00A77BBB">
        <w:rPr>
          <w:rFonts w:ascii="Times New Roman" w:eastAsia="Times New Roman" w:hAnsi="Times New Roman" w:cs="Times New Roman"/>
          <w:color w:val="000000"/>
          <w:sz w:val="24"/>
          <w:szCs w:val="24"/>
          <w:lang w:eastAsia="pt-BR"/>
        </w:rPr>
        <w:t>pinião (</w:t>
      </w:r>
      <w:r w:rsidR="008A7B45">
        <w:rPr>
          <w:rFonts w:ascii="Times New Roman" w:eastAsia="Times New Roman" w:hAnsi="Times New Roman" w:cs="Times New Roman"/>
          <w:color w:val="000000"/>
          <w:sz w:val="24"/>
          <w:szCs w:val="24"/>
          <w:lang w:eastAsia="pt-BR"/>
        </w:rPr>
        <w:t>id.</w:t>
      </w:r>
      <w:r w:rsidR="006F2A7D">
        <w:rPr>
          <w:rFonts w:ascii="Times New Roman" w:eastAsia="Times New Roman" w:hAnsi="Times New Roman" w:cs="Times New Roman"/>
          <w:color w:val="000000"/>
          <w:sz w:val="24"/>
          <w:szCs w:val="24"/>
          <w:lang w:eastAsia="pt-BR"/>
        </w:rPr>
        <w:t xml:space="preserve"> </w:t>
      </w:r>
      <w:r w:rsidR="006F2A7D" w:rsidRPr="006F2A7D">
        <w:rPr>
          <w:rFonts w:ascii="Times New Roman" w:eastAsia="Times New Roman" w:hAnsi="Times New Roman" w:cs="Times New Roman"/>
          <w:color w:val="000000"/>
          <w:sz w:val="24"/>
          <w:szCs w:val="24"/>
          <w:lang w:eastAsia="pt-BR"/>
        </w:rPr>
        <w:t>1337284</w:t>
      </w:r>
      <w:r w:rsidR="00A61C3A" w:rsidRPr="00A77BBB">
        <w:rPr>
          <w:rFonts w:ascii="Times New Roman" w:eastAsia="Times New Roman" w:hAnsi="Times New Roman" w:cs="Times New Roman"/>
          <w:color w:val="000000"/>
          <w:sz w:val="24"/>
          <w:szCs w:val="24"/>
          <w:lang w:eastAsia="pt-BR"/>
        </w:rPr>
        <w:t>)</w:t>
      </w:r>
      <w:r w:rsidRPr="00A77BBB">
        <w:rPr>
          <w:rFonts w:ascii="Times New Roman" w:eastAsia="Times New Roman" w:hAnsi="Times New Roman" w:cs="Times New Roman"/>
          <w:color w:val="000000"/>
          <w:sz w:val="24"/>
          <w:szCs w:val="24"/>
          <w:lang w:eastAsia="pt-BR"/>
        </w:rPr>
        <w:t xml:space="preserve"> foram realizadas</w:t>
      </w:r>
      <w:r w:rsidR="00187B09" w:rsidRPr="00A77BBB">
        <w:rPr>
          <w:rFonts w:ascii="Times New Roman" w:eastAsia="Times New Roman" w:hAnsi="Times New Roman" w:cs="Times New Roman"/>
          <w:color w:val="000000"/>
          <w:sz w:val="24"/>
          <w:szCs w:val="24"/>
          <w:lang w:eastAsia="pt-BR"/>
        </w:rPr>
        <w:t>,</w:t>
      </w:r>
      <w:r w:rsidRPr="00A77BBB">
        <w:rPr>
          <w:rFonts w:ascii="Times New Roman" w:eastAsia="Times New Roman" w:hAnsi="Times New Roman" w:cs="Times New Roman"/>
          <w:color w:val="000000"/>
          <w:sz w:val="24"/>
          <w:szCs w:val="24"/>
          <w:lang w:eastAsia="pt-BR"/>
        </w:rPr>
        <w:t xml:space="preserve"> </w:t>
      </w:r>
      <w:r w:rsidR="00A61C3A" w:rsidRPr="00A77BBB">
        <w:rPr>
          <w:rFonts w:ascii="Times New Roman" w:eastAsia="Times New Roman" w:hAnsi="Times New Roman" w:cs="Times New Roman"/>
          <w:color w:val="000000"/>
          <w:sz w:val="24"/>
          <w:szCs w:val="24"/>
          <w:lang w:eastAsia="pt-BR"/>
        </w:rPr>
        <w:t>e</w:t>
      </w:r>
      <w:r w:rsidR="00AF77D9" w:rsidRPr="00A77BBB">
        <w:rPr>
          <w:rFonts w:ascii="Times New Roman" w:eastAsia="Times New Roman" w:hAnsi="Times New Roman" w:cs="Times New Roman"/>
          <w:color w:val="000000"/>
          <w:sz w:val="24"/>
          <w:szCs w:val="24"/>
          <w:lang w:eastAsia="pt-BR"/>
        </w:rPr>
        <w:t xml:space="preserve"> </w:t>
      </w:r>
      <w:r w:rsidR="00A61C3A" w:rsidRPr="00A77BBB">
        <w:rPr>
          <w:rFonts w:ascii="Times New Roman" w:eastAsia="Times New Roman" w:hAnsi="Times New Roman" w:cs="Times New Roman"/>
          <w:color w:val="000000"/>
          <w:sz w:val="24"/>
          <w:szCs w:val="24"/>
          <w:lang w:eastAsia="pt-BR"/>
        </w:rPr>
        <w:t xml:space="preserve">o </w:t>
      </w:r>
      <w:r w:rsidR="00864EBF" w:rsidRPr="00A77BBB">
        <w:rPr>
          <w:rFonts w:ascii="Times New Roman" w:eastAsia="Times New Roman" w:hAnsi="Times New Roman" w:cs="Times New Roman"/>
          <w:color w:val="000000"/>
          <w:sz w:val="24"/>
          <w:szCs w:val="24"/>
          <w:lang w:eastAsia="pt-BR"/>
        </w:rPr>
        <w:t>R</w:t>
      </w:r>
      <w:r w:rsidR="00A61C3A" w:rsidRPr="00A77BBB">
        <w:rPr>
          <w:rFonts w:ascii="Times New Roman" w:eastAsia="Times New Roman" w:hAnsi="Times New Roman" w:cs="Times New Roman"/>
          <w:color w:val="000000"/>
          <w:sz w:val="24"/>
          <w:szCs w:val="24"/>
          <w:lang w:eastAsia="pt-BR"/>
        </w:rPr>
        <w:t xml:space="preserve">elatório de </w:t>
      </w:r>
      <w:r w:rsidR="00864EBF" w:rsidRPr="00A77BBB">
        <w:rPr>
          <w:rFonts w:ascii="Times New Roman" w:eastAsia="Times New Roman" w:hAnsi="Times New Roman" w:cs="Times New Roman"/>
          <w:color w:val="000000"/>
          <w:sz w:val="24"/>
          <w:szCs w:val="24"/>
          <w:lang w:eastAsia="pt-BR"/>
        </w:rPr>
        <w:t>A</w:t>
      </w:r>
      <w:r w:rsidR="00A61C3A" w:rsidRPr="00A77BBB">
        <w:rPr>
          <w:rFonts w:ascii="Times New Roman" w:eastAsia="Times New Roman" w:hAnsi="Times New Roman" w:cs="Times New Roman"/>
          <w:color w:val="000000"/>
          <w:sz w:val="24"/>
          <w:szCs w:val="24"/>
          <w:lang w:eastAsia="pt-BR"/>
        </w:rPr>
        <w:t xml:space="preserve">uditoria sobre as </w:t>
      </w:r>
      <w:r w:rsidR="00864EBF" w:rsidRPr="00A77BBB">
        <w:rPr>
          <w:rFonts w:ascii="Times New Roman" w:eastAsia="Times New Roman" w:hAnsi="Times New Roman" w:cs="Times New Roman"/>
          <w:color w:val="000000"/>
          <w:sz w:val="24"/>
          <w:szCs w:val="24"/>
          <w:lang w:eastAsia="pt-BR"/>
        </w:rPr>
        <w:t>D</w:t>
      </w:r>
      <w:r w:rsidR="00A61C3A" w:rsidRPr="00A77BBB">
        <w:rPr>
          <w:rFonts w:ascii="Times New Roman" w:eastAsia="Times New Roman" w:hAnsi="Times New Roman" w:cs="Times New Roman"/>
          <w:color w:val="000000"/>
          <w:sz w:val="24"/>
          <w:szCs w:val="24"/>
          <w:lang w:eastAsia="pt-BR"/>
        </w:rPr>
        <w:t xml:space="preserve">emonstrações </w:t>
      </w:r>
      <w:r w:rsidR="00864EBF" w:rsidRPr="00A77BBB">
        <w:rPr>
          <w:rFonts w:ascii="Times New Roman" w:eastAsia="Times New Roman" w:hAnsi="Times New Roman" w:cs="Times New Roman"/>
          <w:color w:val="000000"/>
          <w:sz w:val="24"/>
          <w:szCs w:val="24"/>
          <w:lang w:eastAsia="pt-BR"/>
        </w:rPr>
        <w:t>C</w:t>
      </w:r>
      <w:r w:rsidR="00A61C3A" w:rsidRPr="00A77BBB">
        <w:rPr>
          <w:rFonts w:ascii="Times New Roman" w:eastAsia="Times New Roman" w:hAnsi="Times New Roman" w:cs="Times New Roman"/>
          <w:color w:val="000000"/>
          <w:sz w:val="24"/>
          <w:szCs w:val="24"/>
          <w:lang w:eastAsia="pt-BR"/>
        </w:rPr>
        <w:t>ontábeis</w:t>
      </w:r>
      <w:r w:rsidR="00187B09" w:rsidRPr="00A77BBB">
        <w:rPr>
          <w:rFonts w:ascii="Times New Roman" w:eastAsia="Times New Roman" w:hAnsi="Times New Roman" w:cs="Times New Roman"/>
          <w:color w:val="000000"/>
          <w:sz w:val="24"/>
          <w:szCs w:val="24"/>
          <w:lang w:eastAsia="pt-BR"/>
        </w:rPr>
        <w:t xml:space="preserve"> foi emitido </w:t>
      </w:r>
      <w:r w:rsidR="00A61C3A" w:rsidRPr="00A77BBB">
        <w:rPr>
          <w:rFonts w:ascii="Times New Roman" w:eastAsia="Times New Roman" w:hAnsi="Times New Roman" w:cs="Times New Roman"/>
          <w:color w:val="000000"/>
          <w:sz w:val="24"/>
          <w:szCs w:val="24"/>
          <w:lang w:eastAsia="pt-BR"/>
        </w:rPr>
        <w:t>para extrair as conclusões expressas a seguir, que fundamenta</w:t>
      </w:r>
      <w:r w:rsidR="003F267F" w:rsidRPr="00A77BBB">
        <w:rPr>
          <w:rFonts w:ascii="Times New Roman" w:eastAsia="Times New Roman" w:hAnsi="Times New Roman" w:cs="Times New Roman"/>
          <w:color w:val="000000"/>
          <w:sz w:val="24"/>
          <w:szCs w:val="24"/>
          <w:lang w:eastAsia="pt-BR"/>
        </w:rPr>
        <w:t>ra</w:t>
      </w:r>
      <w:r w:rsidR="00A61C3A" w:rsidRPr="00A77BBB">
        <w:rPr>
          <w:rFonts w:ascii="Times New Roman" w:eastAsia="Times New Roman" w:hAnsi="Times New Roman" w:cs="Times New Roman"/>
          <w:color w:val="000000"/>
          <w:sz w:val="24"/>
          <w:szCs w:val="24"/>
          <w:lang w:eastAsia="pt-BR"/>
        </w:rPr>
        <w:t xml:space="preserve">m as opiniões emitidas no </w:t>
      </w:r>
      <w:r w:rsidR="00282D62" w:rsidRPr="00A77BBB">
        <w:rPr>
          <w:rFonts w:ascii="Times New Roman" w:eastAsia="Times New Roman" w:hAnsi="Times New Roman" w:cs="Times New Roman"/>
          <w:color w:val="000000"/>
          <w:sz w:val="24"/>
          <w:szCs w:val="24"/>
          <w:lang w:eastAsia="pt-BR"/>
        </w:rPr>
        <w:t>C</w:t>
      </w:r>
      <w:bookmarkStart w:id="15" w:name="_Toc67064375"/>
      <w:r w:rsidR="00282D62" w:rsidRPr="00A77BBB">
        <w:rPr>
          <w:rFonts w:ascii="Times New Roman" w:eastAsia="Times New Roman" w:hAnsi="Times New Roman" w:cs="Times New Roman"/>
          <w:color w:val="000000"/>
          <w:sz w:val="24"/>
          <w:szCs w:val="24"/>
          <w:lang w:eastAsia="pt-BR"/>
        </w:rPr>
        <w:t xml:space="preserve">ertificado de Auditoria </w:t>
      </w:r>
      <w:r w:rsidR="00282D62" w:rsidRPr="00922EB2">
        <w:rPr>
          <w:rFonts w:ascii="Times New Roman" w:eastAsia="Times New Roman" w:hAnsi="Times New Roman" w:cs="Times New Roman"/>
          <w:sz w:val="24"/>
          <w:szCs w:val="24"/>
          <w:lang w:eastAsia="pt-BR"/>
        </w:rPr>
        <w:t>(id.</w:t>
      </w:r>
      <w:r w:rsidR="00983FAF">
        <w:rPr>
          <w:rFonts w:ascii="Times New Roman" w:eastAsia="Times New Roman" w:hAnsi="Times New Roman" w:cs="Times New Roman"/>
          <w:sz w:val="24"/>
          <w:szCs w:val="24"/>
          <w:lang w:eastAsia="pt-BR"/>
        </w:rPr>
        <w:t xml:space="preserve"> </w:t>
      </w:r>
      <w:r w:rsidR="00983FAF" w:rsidRPr="00983FAF">
        <w:rPr>
          <w:rFonts w:ascii="Times New Roman" w:eastAsia="Times New Roman" w:hAnsi="Times New Roman" w:cs="Times New Roman"/>
          <w:sz w:val="24"/>
          <w:szCs w:val="24"/>
          <w:lang w:eastAsia="pt-BR"/>
        </w:rPr>
        <w:t>1688392</w:t>
      </w:r>
      <w:r w:rsidR="00282D62" w:rsidRPr="00922EB2">
        <w:rPr>
          <w:rFonts w:ascii="Times New Roman" w:eastAsia="Times New Roman" w:hAnsi="Times New Roman" w:cs="Times New Roman"/>
          <w:sz w:val="24"/>
          <w:szCs w:val="24"/>
          <w:lang w:eastAsia="pt-BR"/>
        </w:rPr>
        <w:t>).</w:t>
      </w:r>
    </w:p>
    <w:p w14:paraId="2F664C54" w14:textId="77777777" w:rsidR="001F2898" w:rsidRDefault="001F2898" w:rsidP="003E7A05">
      <w:pPr>
        <w:ind w:right="119" w:firstLine="0"/>
        <w:jc w:val="both"/>
        <w:rPr>
          <w:rFonts w:ascii="Times New Roman" w:eastAsia="Times New Roman" w:hAnsi="Times New Roman" w:cs="Times New Roman"/>
          <w:color w:val="FF0000"/>
          <w:sz w:val="24"/>
          <w:szCs w:val="24"/>
          <w:lang w:eastAsia="pt-BR"/>
        </w:rPr>
      </w:pPr>
    </w:p>
    <w:p w14:paraId="028AF0C9" w14:textId="77777777" w:rsidR="001F2898" w:rsidRPr="00A77BBB" w:rsidRDefault="00A61C3A" w:rsidP="004B1E97">
      <w:pPr>
        <w:spacing w:before="240"/>
        <w:ind w:right="120" w:firstLine="0"/>
        <w:jc w:val="both"/>
        <w:rPr>
          <w:rFonts w:ascii="Times New Roman" w:eastAsia="Times New Roman" w:hAnsi="Times New Roman" w:cs="Times New Roman"/>
          <w:b/>
          <w:bCs/>
          <w:sz w:val="24"/>
          <w:szCs w:val="24"/>
          <w:lang w:eastAsia="pt-BR"/>
        </w:rPr>
      </w:pPr>
      <w:r w:rsidRPr="000379BF">
        <w:rPr>
          <w:rFonts w:ascii="Times New Roman" w:eastAsia="Times New Roman" w:hAnsi="Times New Roman" w:cs="Times New Roman"/>
          <w:b/>
          <w:bCs/>
          <w:sz w:val="24"/>
          <w:szCs w:val="24"/>
          <w:lang w:eastAsia="pt-BR"/>
        </w:rPr>
        <w:t>7.2</w:t>
      </w:r>
      <w:r w:rsidR="00C40E28">
        <w:rPr>
          <w:rFonts w:ascii="Times New Roman" w:eastAsia="Times New Roman" w:hAnsi="Times New Roman" w:cs="Times New Roman"/>
          <w:b/>
          <w:bCs/>
          <w:sz w:val="24"/>
          <w:szCs w:val="24"/>
          <w:lang w:eastAsia="pt-BR"/>
        </w:rPr>
        <w:t>.</w:t>
      </w:r>
      <w:r w:rsidRPr="000379BF">
        <w:rPr>
          <w:rFonts w:ascii="Times New Roman" w:eastAsia="Times New Roman" w:hAnsi="Times New Roman" w:cs="Times New Roman"/>
          <w:b/>
          <w:bCs/>
          <w:sz w:val="24"/>
          <w:szCs w:val="24"/>
          <w:lang w:eastAsia="pt-BR"/>
        </w:rPr>
        <w:t xml:space="preserve"> Conclusão sobre as Demonstrações Contábeis</w:t>
      </w:r>
      <w:bookmarkEnd w:id="15"/>
    </w:p>
    <w:p w14:paraId="27440053" w14:textId="0E4B2224" w:rsidR="001F2898" w:rsidRPr="00A77BBB" w:rsidRDefault="00A61C3A" w:rsidP="003E7A05">
      <w:pPr>
        <w:spacing w:before="240"/>
        <w:ind w:right="120" w:firstLine="708"/>
        <w:jc w:val="both"/>
        <w:rPr>
          <w:rFonts w:ascii="Times New Roman" w:eastAsia="Times New Roman" w:hAnsi="Times New Roman" w:cs="Times New Roman"/>
          <w:bCs/>
          <w:sz w:val="24"/>
          <w:szCs w:val="24"/>
          <w:lang w:eastAsia="pt-BR"/>
        </w:rPr>
      </w:pPr>
      <w:r w:rsidRPr="00A77BBB">
        <w:rPr>
          <w:rFonts w:ascii="Times New Roman" w:eastAsia="Times New Roman" w:hAnsi="Times New Roman" w:cs="Times New Roman"/>
          <w:bCs/>
          <w:sz w:val="24"/>
          <w:szCs w:val="24"/>
          <w:lang w:eastAsia="pt-BR"/>
        </w:rPr>
        <w:t>Conclui</w:t>
      </w:r>
      <w:r w:rsidR="00A312CA" w:rsidRPr="00A77BBB">
        <w:rPr>
          <w:rFonts w:ascii="Times New Roman" w:eastAsia="Times New Roman" w:hAnsi="Times New Roman" w:cs="Times New Roman"/>
          <w:bCs/>
          <w:sz w:val="24"/>
          <w:szCs w:val="24"/>
          <w:lang w:eastAsia="pt-BR"/>
        </w:rPr>
        <w:t>u</w:t>
      </w:r>
      <w:r w:rsidR="004245CE" w:rsidRPr="00A77BBB">
        <w:rPr>
          <w:rFonts w:ascii="Times New Roman" w:eastAsia="Times New Roman" w:hAnsi="Times New Roman" w:cs="Times New Roman"/>
          <w:bCs/>
          <w:sz w:val="24"/>
          <w:szCs w:val="24"/>
          <w:lang w:eastAsia="pt-BR"/>
        </w:rPr>
        <w:t>-se</w:t>
      </w:r>
      <w:r w:rsidRPr="00A77BBB">
        <w:rPr>
          <w:rFonts w:ascii="Times New Roman" w:eastAsia="Times New Roman" w:hAnsi="Times New Roman" w:cs="Times New Roman"/>
          <w:bCs/>
          <w:sz w:val="24"/>
          <w:szCs w:val="24"/>
          <w:lang w:eastAsia="pt-BR"/>
        </w:rPr>
        <w:t xml:space="preserve"> que as demonstrações contábeis apresentam adequadamente, em todos os aspectos relevantes, nos termos do art. 14, § 4º, I, da </w:t>
      </w:r>
      <w:r w:rsidR="00565C17">
        <w:rPr>
          <w:color w:val="000000"/>
        </w:rPr>
        <w:t> </w:t>
      </w:r>
      <w:hyperlink r:id="rId54" w:tgtFrame="_blank" w:history="1">
        <w:r w:rsidR="00565C17" w:rsidRPr="00565C17">
          <w:rPr>
            <w:rStyle w:val="Hyperlink"/>
            <w:rFonts w:ascii="Times New Roman" w:hAnsi="Times New Roman" w:cs="Times New Roman"/>
            <w:sz w:val="24"/>
            <w:szCs w:val="24"/>
          </w:rPr>
          <w:t>IN TCU 84/2020</w:t>
        </w:r>
      </w:hyperlink>
      <w:r w:rsidRPr="00565C17">
        <w:rPr>
          <w:rFonts w:ascii="Times New Roman" w:eastAsia="Times New Roman" w:hAnsi="Times New Roman" w:cs="Times New Roman"/>
          <w:bCs/>
          <w:sz w:val="24"/>
          <w:szCs w:val="24"/>
          <w:lang w:eastAsia="pt-BR"/>
        </w:rPr>
        <w:t>,</w:t>
      </w:r>
      <w:r w:rsidRPr="00A77BBB">
        <w:rPr>
          <w:rFonts w:ascii="Times New Roman" w:eastAsia="Times New Roman" w:hAnsi="Times New Roman" w:cs="Times New Roman"/>
          <w:bCs/>
          <w:sz w:val="24"/>
          <w:szCs w:val="24"/>
          <w:lang w:eastAsia="pt-BR"/>
        </w:rPr>
        <w:t xml:space="preserve"> a posição patrimonial e financeira da Justiça Federal da 6ª</w:t>
      </w:r>
      <w:r w:rsidR="00E562F9">
        <w:rPr>
          <w:rFonts w:ascii="Times New Roman" w:eastAsia="Times New Roman" w:hAnsi="Times New Roman" w:cs="Times New Roman"/>
          <w:bCs/>
          <w:sz w:val="24"/>
          <w:szCs w:val="24"/>
          <w:lang w:eastAsia="pt-BR"/>
        </w:rPr>
        <w:t xml:space="preserve"> Região em 31 de dezembro de 202</w:t>
      </w:r>
      <w:r w:rsidR="00B0649D">
        <w:rPr>
          <w:rFonts w:ascii="Times New Roman" w:eastAsia="Times New Roman" w:hAnsi="Times New Roman" w:cs="Times New Roman"/>
          <w:bCs/>
          <w:sz w:val="24"/>
          <w:szCs w:val="24"/>
          <w:lang w:eastAsia="pt-BR"/>
        </w:rPr>
        <w:t>5</w:t>
      </w:r>
      <w:r w:rsidRPr="00A77BBB">
        <w:rPr>
          <w:rFonts w:ascii="Times New Roman" w:eastAsia="Times New Roman" w:hAnsi="Times New Roman" w:cs="Times New Roman"/>
          <w:bCs/>
          <w:sz w:val="24"/>
          <w:szCs w:val="24"/>
          <w:lang w:eastAsia="pt-BR"/>
        </w:rPr>
        <w:t>, estando de acordo com as práticas contábeis adotadas no Brasil aplicadas ao setor público.</w:t>
      </w:r>
      <w:bookmarkStart w:id="16" w:name="_Toc67064376"/>
    </w:p>
    <w:p w14:paraId="76CD378F" w14:textId="77777777" w:rsidR="001F2898" w:rsidRDefault="001F2898" w:rsidP="003E7A05">
      <w:pPr>
        <w:ind w:right="119" w:firstLine="0"/>
        <w:jc w:val="both"/>
        <w:rPr>
          <w:rFonts w:ascii="Times New Roman" w:eastAsia="Times New Roman" w:hAnsi="Times New Roman" w:cs="Times New Roman"/>
          <w:b/>
          <w:bCs/>
          <w:sz w:val="24"/>
          <w:szCs w:val="24"/>
          <w:lang w:eastAsia="pt-BR"/>
        </w:rPr>
      </w:pPr>
    </w:p>
    <w:p w14:paraId="39D95DC3" w14:textId="77777777" w:rsidR="001F2898" w:rsidRPr="00A77BBB" w:rsidRDefault="00A61C3A" w:rsidP="004B1E97">
      <w:pPr>
        <w:spacing w:before="240"/>
        <w:ind w:right="120" w:firstLine="0"/>
        <w:jc w:val="both"/>
        <w:rPr>
          <w:rFonts w:ascii="Times New Roman" w:eastAsia="Times New Roman" w:hAnsi="Times New Roman" w:cs="Times New Roman"/>
          <w:b/>
          <w:bCs/>
          <w:sz w:val="24"/>
          <w:szCs w:val="24"/>
          <w:lang w:eastAsia="pt-BR"/>
        </w:rPr>
      </w:pPr>
      <w:r w:rsidRPr="000379BF">
        <w:rPr>
          <w:rFonts w:ascii="Times New Roman" w:eastAsia="Times New Roman" w:hAnsi="Times New Roman" w:cs="Times New Roman"/>
          <w:b/>
          <w:bCs/>
          <w:sz w:val="24"/>
          <w:szCs w:val="24"/>
          <w:lang w:eastAsia="pt-BR"/>
        </w:rPr>
        <w:t>7.3</w:t>
      </w:r>
      <w:r w:rsidR="00C40E28">
        <w:rPr>
          <w:rFonts w:ascii="Times New Roman" w:eastAsia="Times New Roman" w:hAnsi="Times New Roman" w:cs="Times New Roman"/>
          <w:b/>
          <w:bCs/>
          <w:sz w:val="24"/>
          <w:szCs w:val="24"/>
          <w:lang w:eastAsia="pt-BR"/>
        </w:rPr>
        <w:t>.</w:t>
      </w:r>
      <w:r w:rsidRPr="000379BF">
        <w:rPr>
          <w:rFonts w:ascii="Times New Roman" w:eastAsia="Times New Roman" w:hAnsi="Times New Roman" w:cs="Times New Roman"/>
          <w:b/>
          <w:bCs/>
          <w:sz w:val="24"/>
          <w:szCs w:val="24"/>
          <w:lang w:eastAsia="pt-BR"/>
        </w:rPr>
        <w:t xml:space="preserve"> Conclusão sobre a conformidade das operações, transações ou atos de gestão subjacentes</w:t>
      </w:r>
      <w:bookmarkEnd w:id="16"/>
    </w:p>
    <w:p w14:paraId="62EEE292" w14:textId="77777777" w:rsidR="001F2898" w:rsidRPr="00A77BBB" w:rsidRDefault="00A61C3A" w:rsidP="003E7A05">
      <w:pPr>
        <w:spacing w:before="240"/>
        <w:ind w:right="120" w:firstLine="708"/>
        <w:jc w:val="both"/>
        <w:rPr>
          <w:rFonts w:ascii="Times New Roman" w:eastAsia="Times New Roman" w:hAnsi="Times New Roman" w:cs="Times New Roman"/>
          <w:bCs/>
          <w:sz w:val="24"/>
          <w:szCs w:val="24"/>
          <w:lang w:eastAsia="pt-BR"/>
        </w:rPr>
      </w:pPr>
      <w:r w:rsidRPr="00A77BBB">
        <w:rPr>
          <w:rFonts w:ascii="Times New Roman" w:eastAsia="Times New Roman" w:hAnsi="Times New Roman" w:cs="Times New Roman"/>
          <w:bCs/>
          <w:sz w:val="24"/>
          <w:szCs w:val="24"/>
          <w:lang w:eastAsia="pt-BR"/>
        </w:rPr>
        <w:t>Conclu</w:t>
      </w:r>
      <w:r w:rsidR="004245CE" w:rsidRPr="00A77BBB">
        <w:rPr>
          <w:rFonts w:ascii="Times New Roman" w:eastAsia="Times New Roman" w:hAnsi="Times New Roman" w:cs="Times New Roman"/>
          <w:bCs/>
          <w:sz w:val="24"/>
          <w:szCs w:val="24"/>
          <w:lang w:eastAsia="pt-BR"/>
        </w:rPr>
        <w:t>iu-se</w:t>
      </w:r>
      <w:r w:rsidRPr="00A77BBB">
        <w:rPr>
          <w:rFonts w:ascii="Times New Roman" w:eastAsia="Times New Roman" w:hAnsi="Times New Roman" w:cs="Times New Roman"/>
          <w:bCs/>
          <w:sz w:val="24"/>
          <w:szCs w:val="24"/>
          <w:lang w:eastAsia="pt-BR"/>
        </w:rPr>
        <w:t xml:space="preserve"> que não houve desvios de conformidade significativos nas operações, transações ou atos de gestão relevantes dos responsáveis, subjacentes às demonstrações contábeis acima referidas. </w:t>
      </w:r>
    </w:p>
    <w:p w14:paraId="0176E7FD" w14:textId="77777777" w:rsidR="001F2898" w:rsidRDefault="001F2898" w:rsidP="003E7A05">
      <w:pPr>
        <w:ind w:right="119" w:firstLine="0"/>
        <w:jc w:val="both"/>
        <w:rPr>
          <w:rFonts w:ascii="Times New Roman" w:eastAsia="Times New Roman" w:hAnsi="Times New Roman" w:cs="Times New Roman"/>
          <w:sz w:val="24"/>
          <w:szCs w:val="24"/>
          <w:lang w:eastAsia="pt-BR"/>
        </w:rPr>
      </w:pPr>
    </w:p>
    <w:p w14:paraId="49AE8C6F" w14:textId="77777777" w:rsidR="002F3F05" w:rsidRDefault="002F3F05" w:rsidP="004B1E97">
      <w:pPr>
        <w:spacing w:before="240"/>
        <w:ind w:right="120" w:firstLine="0"/>
        <w:jc w:val="both"/>
        <w:rPr>
          <w:rFonts w:ascii="Times New Roman" w:eastAsia="Times New Roman" w:hAnsi="Times New Roman" w:cs="Times New Roman"/>
          <w:b/>
          <w:bCs/>
          <w:sz w:val="24"/>
          <w:szCs w:val="24"/>
          <w:lang w:eastAsia="pt-BR"/>
        </w:rPr>
      </w:pPr>
      <w:bookmarkStart w:id="17" w:name="_Toc67064377"/>
      <w:r w:rsidRPr="000379BF">
        <w:rPr>
          <w:rFonts w:ascii="Times New Roman" w:eastAsia="Times New Roman" w:hAnsi="Times New Roman" w:cs="Times New Roman"/>
          <w:b/>
          <w:bCs/>
          <w:sz w:val="24"/>
          <w:szCs w:val="24"/>
          <w:lang w:eastAsia="pt-BR"/>
        </w:rPr>
        <w:t>7.4</w:t>
      </w:r>
      <w:r w:rsidR="00C40E28">
        <w:rPr>
          <w:rFonts w:ascii="Times New Roman" w:eastAsia="Times New Roman" w:hAnsi="Times New Roman" w:cs="Times New Roman"/>
          <w:b/>
          <w:bCs/>
          <w:sz w:val="24"/>
          <w:szCs w:val="24"/>
          <w:lang w:eastAsia="pt-BR"/>
        </w:rPr>
        <w:t>.</w:t>
      </w:r>
      <w:r w:rsidRPr="000379BF">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bCs/>
          <w:sz w:val="24"/>
          <w:szCs w:val="24"/>
          <w:lang w:eastAsia="pt-BR"/>
        </w:rPr>
        <w:t>Impacto dos achados nas contas da unidade jurisdicionada</w:t>
      </w:r>
    </w:p>
    <w:p w14:paraId="484E48A7" w14:textId="77777777" w:rsidR="00CD4BBF" w:rsidRDefault="00CD4BBF" w:rsidP="003E7A05">
      <w:pPr>
        <w:spacing w:before="240"/>
        <w:ind w:right="120" w:firstLine="708"/>
        <w:jc w:val="both"/>
        <w:rPr>
          <w:rFonts w:ascii="Times New Roman" w:eastAsia="Times New Roman" w:hAnsi="Times New Roman" w:cs="Times New Roman"/>
          <w:b/>
          <w:bCs/>
          <w:sz w:val="24"/>
          <w:szCs w:val="24"/>
          <w:lang w:eastAsia="pt-BR"/>
        </w:rPr>
      </w:pPr>
      <w:r w:rsidRPr="00CD4BBF">
        <w:rPr>
          <w:rFonts w:ascii="Times New Roman" w:eastAsia="Times New Roman" w:hAnsi="Times New Roman" w:cs="Times New Roman"/>
          <w:bCs/>
          <w:sz w:val="24"/>
          <w:szCs w:val="24"/>
          <w:lang w:eastAsia="pt-BR"/>
        </w:rPr>
        <w:lastRenderedPageBreak/>
        <w:t>Não foram identificadas ocorrências classificadas como "achados de auditoria" envolvendo os processos de trabalho e escopo da auditoria, relacionadas às conformidades das operações, transações ou atos de gestão subjacentes relevantes no aspecto quantitativo ou qualitativo, individualmente ou em conjunto, que pudessem ter impacto significativo sobre as demonstrações contábeis e nas contas da Unidade Prestadora de Contas</w:t>
      </w:r>
      <w:r w:rsidR="00E312EB">
        <w:rPr>
          <w:rFonts w:ascii="Times New Roman" w:eastAsia="Times New Roman" w:hAnsi="Times New Roman" w:cs="Times New Roman"/>
          <w:bCs/>
          <w:sz w:val="24"/>
          <w:szCs w:val="24"/>
          <w:lang w:eastAsia="pt-BR"/>
        </w:rPr>
        <w:t xml:space="preserve"> - UPC</w:t>
      </w:r>
      <w:r>
        <w:rPr>
          <w:color w:val="000000"/>
        </w:rPr>
        <w:t>.</w:t>
      </w:r>
    </w:p>
    <w:p w14:paraId="7E461B29" w14:textId="77777777" w:rsidR="00CD4BBF" w:rsidRDefault="00CD4BBF" w:rsidP="003E7A05">
      <w:pPr>
        <w:ind w:right="119" w:firstLine="0"/>
        <w:jc w:val="both"/>
        <w:rPr>
          <w:rFonts w:ascii="Times New Roman" w:eastAsia="Times New Roman" w:hAnsi="Times New Roman" w:cs="Times New Roman"/>
          <w:b/>
          <w:bCs/>
          <w:sz w:val="24"/>
          <w:szCs w:val="24"/>
          <w:lang w:eastAsia="pt-BR"/>
        </w:rPr>
      </w:pPr>
    </w:p>
    <w:p w14:paraId="628CF4B2" w14:textId="77777777" w:rsidR="00C64B5D" w:rsidRDefault="0017117F" w:rsidP="004B1E97">
      <w:pPr>
        <w:spacing w:before="240"/>
        <w:ind w:right="120" w:firstLine="0"/>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7.5</w:t>
      </w:r>
      <w:r w:rsidR="00C40E28">
        <w:rPr>
          <w:rFonts w:ascii="Times New Roman" w:eastAsia="Times New Roman" w:hAnsi="Times New Roman" w:cs="Times New Roman"/>
          <w:b/>
          <w:bCs/>
          <w:sz w:val="24"/>
          <w:szCs w:val="24"/>
          <w:lang w:eastAsia="pt-BR"/>
        </w:rPr>
        <w:t>.</w:t>
      </w:r>
      <w:r w:rsidR="00C64B5D" w:rsidRPr="000379BF">
        <w:rPr>
          <w:rFonts w:ascii="Times New Roman" w:eastAsia="Times New Roman" w:hAnsi="Times New Roman" w:cs="Times New Roman"/>
          <w:b/>
          <w:bCs/>
          <w:sz w:val="24"/>
          <w:szCs w:val="24"/>
          <w:lang w:eastAsia="pt-BR"/>
        </w:rPr>
        <w:t xml:space="preserve"> </w:t>
      </w:r>
      <w:r w:rsidR="00C64B5D">
        <w:rPr>
          <w:rFonts w:ascii="Times New Roman" w:eastAsia="Times New Roman" w:hAnsi="Times New Roman" w:cs="Times New Roman"/>
          <w:b/>
          <w:bCs/>
          <w:sz w:val="24"/>
          <w:szCs w:val="24"/>
          <w:lang w:eastAsia="pt-BR"/>
        </w:rPr>
        <w:t>Informações sobre apuração de eventuais responsabilidades</w:t>
      </w:r>
    </w:p>
    <w:p w14:paraId="549433CB" w14:textId="77777777" w:rsidR="00C64B5D" w:rsidRPr="00C64B5D" w:rsidRDefault="00C64B5D" w:rsidP="003E7A05">
      <w:pPr>
        <w:spacing w:before="240"/>
        <w:ind w:right="120" w:firstLine="708"/>
        <w:jc w:val="both"/>
        <w:rPr>
          <w:rFonts w:ascii="Times New Roman" w:eastAsia="Times New Roman" w:hAnsi="Times New Roman" w:cs="Times New Roman"/>
          <w:bCs/>
          <w:sz w:val="24"/>
          <w:szCs w:val="24"/>
          <w:lang w:eastAsia="pt-BR"/>
        </w:rPr>
      </w:pPr>
      <w:r w:rsidRPr="00C64B5D">
        <w:rPr>
          <w:rFonts w:ascii="Times New Roman" w:eastAsia="Times New Roman" w:hAnsi="Times New Roman" w:cs="Times New Roman"/>
          <w:bCs/>
          <w:sz w:val="24"/>
          <w:szCs w:val="24"/>
          <w:lang w:eastAsia="pt-BR"/>
        </w:rPr>
        <w:t>Nada há a relatar quanto à apuração de responsabilidades devido a não identificação de distorções e/ou desvios de conformidade relevantes nas demonstrações contábeis, nas respectivas notas explicativas e nas transações subjacentes.</w:t>
      </w:r>
    </w:p>
    <w:p w14:paraId="5493D87F" w14:textId="77777777" w:rsidR="002F3F05" w:rsidRDefault="002F3F05" w:rsidP="003E7A05">
      <w:pPr>
        <w:ind w:right="119" w:firstLine="0"/>
        <w:jc w:val="both"/>
        <w:rPr>
          <w:rFonts w:ascii="Times New Roman" w:eastAsia="Times New Roman" w:hAnsi="Times New Roman" w:cs="Times New Roman"/>
          <w:b/>
          <w:bCs/>
          <w:sz w:val="24"/>
          <w:szCs w:val="24"/>
          <w:lang w:eastAsia="pt-BR"/>
        </w:rPr>
      </w:pPr>
    </w:p>
    <w:p w14:paraId="46E5739A" w14:textId="77777777" w:rsidR="001F2898" w:rsidRPr="00A77BBB" w:rsidRDefault="00C64B5D" w:rsidP="004B1E97">
      <w:pPr>
        <w:spacing w:before="240"/>
        <w:ind w:right="120" w:firstLine="0"/>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7.</w:t>
      </w:r>
      <w:r w:rsidR="0017117F">
        <w:rPr>
          <w:rFonts w:ascii="Times New Roman" w:eastAsia="Times New Roman" w:hAnsi="Times New Roman" w:cs="Times New Roman"/>
          <w:b/>
          <w:bCs/>
          <w:sz w:val="24"/>
          <w:szCs w:val="24"/>
          <w:lang w:eastAsia="pt-BR"/>
        </w:rPr>
        <w:t>6</w:t>
      </w:r>
      <w:r w:rsidR="00C40E28">
        <w:rPr>
          <w:rFonts w:ascii="Times New Roman" w:eastAsia="Times New Roman" w:hAnsi="Times New Roman" w:cs="Times New Roman"/>
          <w:b/>
          <w:bCs/>
          <w:sz w:val="24"/>
          <w:szCs w:val="24"/>
          <w:lang w:eastAsia="pt-BR"/>
        </w:rPr>
        <w:t>.</w:t>
      </w:r>
      <w:r w:rsidR="00A61C3A" w:rsidRPr="000379BF">
        <w:rPr>
          <w:rFonts w:ascii="Times New Roman" w:eastAsia="Times New Roman" w:hAnsi="Times New Roman" w:cs="Times New Roman"/>
          <w:b/>
          <w:bCs/>
          <w:sz w:val="24"/>
          <w:szCs w:val="24"/>
          <w:lang w:eastAsia="pt-BR"/>
        </w:rPr>
        <w:t xml:space="preserve"> Benefícios estimados ou esperados e volume de recursos auditados</w:t>
      </w:r>
      <w:bookmarkEnd w:id="17"/>
    </w:p>
    <w:p w14:paraId="6B90B143" w14:textId="77777777" w:rsidR="001F2898" w:rsidRPr="00A77BBB" w:rsidRDefault="00A61C3A" w:rsidP="003E7A05">
      <w:pPr>
        <w:spacing w:before="240"/>
        <w:ind w:right="120" w:firstLine="708"/>
        <w:jc w:val="both"/>
        <w:rPr>
          <w:rFonts w:ascii="Times New Roman" w:eastAsia="Times New Roman" w:hAnsi="Times New Roman" w:cs="Times New Roman"/>
          <w:bCs/>
          <w:sz w:val="24"/>
          <w:szCs w:val="24"/>
          <w:lang w:eastAsia="pt-BR"/>
        </w:rPr>
      </w:pPr>
      <w:r w:rsidRPr="00A77BBB">
        <w:rPr>
          <w:rFonts w:ascii="Times New Roman" w:eastAsia="Times New Roman" w:hAnsi="Times New Roman" w:cs="Times New Roman"/>
          <w:bCs/>
          <w:sz w:val="24"/>
          <w:szCs w:val="24"/>
          <w:lang w:eastAsia="pt-BR"/>
        </w:rPr>
        <w:t>Entre os benefícios esperados da implementação das recomendações propostas</w:t>
      </w:r>
      <w:r w:rsidR="00096E58" w:rsidRPr="00A77BBB">
        <w:rPr>
          <w:rFonts w:ascii="Times New Roman" w:eastAsia="Times New Roman" w:hAnsi="Times New Roman" w:cs="Times New Roman"/>
          <w:bCs/>
          <w:sz w:val="24"/>
          <w:szCs w:val="24"/>
          <w:lang w:eastAsia="pt-BR"/>
        </w:rPr>
        <w:t>,</w:t>
      </w:r>
      <w:r w:rsidRPr="00A77BBB">
        <w:rPr>
          <w:rFonts w:ascii="Times New Roman" w:eastAsia="Times New Roman" w:hAnsi="Times New Roman" w:cs="Times New Roman"/>
          <w:bCs/>
          <w:sz w:val="24"/>
          <w:szCs w:val="24"/>
          <w:lang w:eastAsia="pt-BR"/>
        </w:rPr>
        <w:t xml:space="preserve"> citam-se o aumento da transparência da gestão, a melhoria das informações e o aprimoramento dos controles internos sobre a conformidade dos atos de gestão financeira e orçamentária e dos respectivos registros contábeis, bem como sobre o processo de elaboração das demonstrações contábeis, alinhando-os aos padrões internacionais em implementação pela STN, de modo a que as práticas contábeis adotadas no Brasil sejam convergentes com as Normas Internacionais de Contabilidade Aplicadas ao Setor Público.</w:t>
      </w:r>
    </w:p>
    <w:p w14:paraId="28ED3AC5" w14:textId="77777777" w:rsidR="001F2898" w:rsidRPr="00A77BBB" w:rsidRDefault="00A61C3A" w:rsidP="003E7A05">
      <w:pPr>
        <w:spacing w:before="240"/>
        <w:ind w:right="120" w:firstLine="708"/>
        <w:jc w:val="both"/>
        <w:rPr>
          <w:rFonts w:ascii="Times New Roman" w:eastAsia="Times New Roman" w:hAnsi="Times New Roman" w:cs="Times New Roman"/>
          <w:bCs/>
          <w:sz w:val="24"/>
          <w:szCs w:val="24"/>
          <w:lang w:eastAsia="pt-BR"/>
        </w:rPr>
      </w:pPr>
      <w:r w:rsidRPr="00A77BBB">
        <w:rPr>
          <w:rFonts w:ascii="Times New Roman" w:eastAsia="Times New Roman" w:hAnsi="Times New Roman" w:cs="Times New Roman"/>
          <w:bCs/>
          <w:sz w:val="24"/>
          <w:szCs w:val="24"/>
          <w:lang w:eastAsia="pt-BR"/>
        </w:rPr>
        <w:t>A comunicação tempestiva das distorções detectadas durante a execução dessa auditoria permitiu que as unidades auditadas pudessem realiz</w:t>
      </w:r>
      <w:r w:rsidR="00283E49" w:rsidRPr="00A77BBB">
        <w:rPr>
          <w:rFonts w:ascii="Times New Roman" w:eastAsia="Times New Roman" w:hAnsi="Times New Roman" w:cs="Times New Roman"/>
          <w:bCs/>
          <w:sz w:val="24"/>
          <w:szCs w:val="24"/>
          <w:lang w:eastAsia="pt-BR"/>
        </w:rPr>
        <w:t>ar os ajustes contábeis no SIAFI</w:t>
      </w:r>
      <w:r w:rsidRPr="00A77BBB">
        <w:rPr>
          <w:rFonts w:ascii="Times New Roman" w:eastAsia="Times New Roman" w:hAnsi="Times New Roman" w:cs="Times New Roman"/>
          <w:bCs/>
          <w:sz w:val="24"/>
          <w:szCs w:val="24"/>
          <w:lang w:eastAsia="pt-BR"/>
        </w:rPr>
        <w:t xml:space="preserve"> antes do encerramento do exercício, gerando informação mais fidedigna, melhorando assim a qualidade e a credibilidade da prestação de contas anual dos responsáveis</w:t>
      </w:r>
      <w:r w:rsidR="00D213F9" w:rsidRPr="00A77BBB">
        <w:rPr>
          <w:rFonts w:ascii="Times New Roman" w:eastAsia="Times New Roman" w:hAnsi="Times New Roman" w:cs="Times New Roman"/>
          <w:bCs/>
          <w:sz w:val="24"/>
          <w:szCs w:val="24"/>
          <w:lang w:eastAsia="pt-BR"/>
        </w:rPr>
        <w:t xml:space="preserve"> e</w:t>
      </w:r>
      <w:r w:rsidRPr="00A77BBB">
        <w:rPr>
          <w:rFonts w:ascii="Times New Roman" w:eastAsia="Times New Roman" w:hAnsi="Times New Roman" w:cs="Times New Roman"/>
          <w:bCs/>
          <w:sz w:val="24"/>
          <w:szCs w:val="24"/>
          <w:lang w:eastAsia="pt-BR"/>
        </w:rPr>
        <w:t xml:space="preserve"> contribuindo para o aprimoramento de controles internos </w:t>
      </w:r>
      <w:r w:rsidR="00A42D66" w:rsidRPr="00A77BBB">
        <w:rPr>
          <w:rFonts w:ascii="Times New Roman" w:eastAsia="Times New Roman" w:hAnsi="Times New Roman" w:cs="Times New Roman"/>
          <w:bCs/>
          <w:sz w:val="24"/>
          <w:szCs w:val="24"/>
          <w:lang w:eastAsia="pt-BR"/>
        </w:rPr>
        <w:t xml:space="preserve">de forma a </w:t>
      </w:r>
      <w:r w:rsidR="007F0BD4" w:rsidRPr="00A77BBB">
        <w:rPr>
          <w:rFonts w:ascii="Times New Roman" w:eastAsia="Times New Roman" w:hAnsi="Times New Roman" w:cs="Times New Roman"/>
          <w:bCs/>
          <w:sz w:val="24"/>
          <w:szCs w:val="24"/>
          <w:lang w:eastAsia="pt-BR"/>
        </w:rPr>
        <w:t>se</w:t>
      </w:r>
      <w:r w:rsidRPr="00A77BBB">
        <w:rPr>
          <w:rFonts w:ascii="Times New Roman" w:eastAsia="Times New Roman" w:hAnsi="Times New Roman" w:cs="Times New Roman"/>
          <w:bCs/>
          <w:sz w:val="24"/>
          <w:szCs w:val="24"/>
          <w:lang w:eastAsia="pt-BR"/>
        </w:rPr>
        <w:t xml:space="preserve"> evitar potenciais distorções relevantes nas demonstrações contábeis e respectivas transações subjacentes.</w:t>
      </w:r>
    </w:p>
    <w:p w14:paraId="2FF472E8" w14:textId="7AE11918" w:rsidR="001F2898" w:rsidRPr="00B0649D" w:rsidRDefault="00D575FF" w:rsidP="00B0649D">
      <w:pPr>
        <w:spacing w:before="240"/>
        <w:ind w:firstLine="708"/>
        <w:jc w:val="both"/>
        <w:rPr>
          <w:rFonts w:ascii="Times New Roman" w:eastAsia="Times New Roman" w:hAnsi="Times New Roman" w:cs="Times New Roman"/>
          <w:sz w:val="24"/>
          <w:szCs w:val="24"/>
          <w:lang w:eastAsia="pt-BR"/>
        </w:rPr>
      </w:pPr>
      <w:r w:rsidRPr="00A77BBB">
        <w:rPr>
          <w:rFonts w:ascii="Times New Roman" w:eastAsia="Times New Roman" w:hAnsi="Times New Roman" w:cs="Times New Roman"/>
          <w:bCs/>
          <w:sz w:val="24"/>
          <w:szCs w:val="24"/>
          <w:lang w:eastAsia="pt-BR"/>
        </w:rPr>
        <w:t xml:space="preserve">O volume de recursos auditados sob a ótica orçamentária (natureza da despesa) no tocante às despesas de pessoal, contratações e precatórios, relativas </w:t>
      </w:r>
      <w:r w:rsidR="008E074B">
        <w:rPr>
          <w:rFonts w:ascii="Times New Roman" w:eastAsia="Times New Roman" w:hAnsi="Times New Roman" w:cs="Times New Roman"/>
          <w:bCs/>
          <w:sz w:val="24"/>
          <w:szCs w:val="24"/>
          <w:lang w:eastAsia="pt-BR"/>
        </w:rPr>
        <w:t>ao exercício de 202</w:t>
      </w:r>
      <w:r w:rsidR="00B0649D">
        <w:rPr>
          <w:rFonts w:ascii="Times New Roman" w:eastAsia="Times New Roman" w:hAnsi="Times New Roman" w:cs="Times New Roman"/>
          <w:bCs/>
          <w:sz w:val="24"/>
          <w:szCs w:val="24"/>
          <w:lang w:eastAsia="pt-BR"/>
        </w:rPr>
        <w:t>5</w:t>
      </w:r>
      <w:r w:rsidRPr="00A77BBB">
        <w:rPr>
          <w:rFonts w:ascii="Times New Roman" w:eastAsia="Times New Roman" w:hAnsi="Times New Roman" w:cs="Times New Roman"/>
          <w:bCs/>
          <w:sz w:val="24"/>
          <w:szCs w:val="24"/>
          <w:lang w:eastAsia="pt-BR"/>
        </w:rPr>
        <w:t>, alcançou o montante de </w:t>
      </w:r>
      <w:r w:rsidR="0049120A">
        <w:rPr>
          <w:rFonts w:ascii="Times New Roman" w:eastAsia="Times New Roman" w:hAnsi="Times New Roman" w:cs="Times New Roman"/>
          <w:b/>
          <w:bCs/>
          <w:sz w:val="24"/>
          <w:szCs w:val="24"/>
          <w:lang w:eastAsia="pt-BR"/>
        </w:rPr>
        <w:t>R$ 6.169.111.071,</w:t>
      </w:r>
      <w:r w:rsidR="0049120A" w:rsidRPr="0075163A">
        <w:rPr>
          <w:rFonts w:ascii="Times New Roman" w:eastAsia="Times New Roman" w:hAnsi="Times New Roman" w:cs="Times New Roman"/>
          <w:b/>
          <w:bCs/>
          <w:sz w:val="24"/>
          <w:szCs w:val="24"/>
          <w:lang w:eastAsia="pt-BR"/>
        </w:rPr>
        <w:t>94</w:t>
      </w:r>
      <w:r w:rsidR="0049120A" w:rsidRPr="0075163A">
        <w:rPr>
          <w:rFonts w:ascii="Times New Roman" w:eastAsia="Times New Roman" w:hAnsi="Times New Roman" w:cs="Times New Roman"/>
          <w:sz w:val="24"/>
          <w:szCs w:val="24"/>
          <w:lang w:eastAsia="pt-BR"/>
        </w:rPr>
        <w:t xml:space="preserve"> (seis bilhões cento e sessenta e nove milhões cento e onze mil setenta e um reais e noventa e quatro centavos)</w:t>
      </w:r>
      <w:r w:rsidR="001659B5">
        <w:rPr>
          <w:rFonts w:ascii="Times New Roman" w:eastAsia="Times New Roman" w:hAnsi="Times New Roman" w:cs="Times New Roman"/>
          <w:sz w:val="24"/>
          <w:szCs w:val="24"/>
          <w:lang w:eastAsia="pt-BR"/>
        </w:rPr>
        <w:t xml:space="preserve"> </w:t>
      </w:r>
      <w:r w:rsidR="00A61C3A" w:rsidRPr="001659B5">
        <w:rPr>
          <w:rFonts w:ascii="Times New Roman" w:eastAsia="Times New Roman" w:hAnsi="Times New Roman" w:cs="Times New Roman"/>
          <w:bCs/>
          <w:sz w:val="24"/>
          <w:szCs w:val="24"/>
          <w:lang w:eastAsia="pt-BR"/>
        </w:rPr>
        <w:t xml:space="preserve">e </w:t>
      </w:r>
      <w:r w:rsidR="00B0649D" w:rsidRPr="00A61C3A">
        <w:rPr>
          <w:rFonts w:ascii="Times New Roman" w:eastAsia="Times New Roman" w:hAnsi="Times New Roman" w:cs="Times New Roman"/>
          <w:b/>
          <w:bCs/>
          <w:sz w:val="24"/>
          <w:szCs w:val="24"/>
          <w:lang w:eastAsia="pt-BR"/>
        </w:rPr>
        <w:t xml:space="preserve">R$ </w:t>
      </w:r>
      <w:r w:rsidR="00B0649D">
        <w:rPr>
          <w:rFonts w:ascii="Times New Roman" w:eastAsia="Times New Roman" w:hAnsi="Times New Roman" w:cs="Times New Roman"/>
          <w:b/>
          <w:bCs/>
          <w:sz w:val="24"/>
          <w:szCs w:val="24"/>
          <w:lang w:eastAsia="pt-BR"/>
        </w:rPr>
        <w:t>95.998.333,05</w:t>
      </w:r>
      <w:r w:rsidR="00B0649D">
        <w:rPr>
          <w:rFonts w:ascii="Times New Roman" w:eastAsia="Times New Roman" w:hAnsi="Times New Roman" w:cs="Times New Roman"/>
          <w:sz w:val="24"/>
          <w:szCs w:val="24"/>
          <w:lang w:eastAsia="pt-BR"/>
        </w:rPr>
        <w:t xml:space="preserve"> (</w:t>
      </w:r>
      <w:r w:rsidR="00B0649D" w:rsidRPr="005C3707">
        <w:rPr>
          <w:rFonts w:ascii="Times New Roman" w:eastAsia="Times New Roman" w:hAnsi="Times New Roman" w:cs="Times New Roman"/>
          <w:sz w:val="24"/>
          <w:szCs w:val="24"/>
          <w:lang w:eastAsia="pt-BR"/>
        </w:rPr>
        <w:t>noventa e cinco milhões novecentos e noventa e oito mil trezentos e trinta e três reais e cinco centavos</w:t>
      </w:r>
      <w:r w:rsidR="00B0649D">
        <w:rPr>
          <w:rFonts w:ascii="Times New Roman" w:eastAsia="Times New Roman" w:hAnsi="Times New Roman" w:cs="Times New Roman"/>
          <w:sz w:val="24"/>
          <w:szCs w:val="24"/>
          <w:lang w:eastAsia="pt-BR"/>
        </w:rPr>
        <w:t xml:space="preserve">) </w:t>
      </w:r>
      <w:r w:rsidR="00A61C3A" w:rsidRPr="001659B5">
        <w:rPr>
          <w:rFonts w:ascii="Times New Roman" w:eastAsia="Times New Roman" w:hAnsi="Times New Roman" w:cs="Times New Roman"/>
          <w:bCs/>
          <w:sz w:val="24"/>
          <w:szCs w:val="24"/>
          <w:lang w:eastAsia="pt-BR"/>
        </w:rPr>
        <w:t>na perspectiva patrimonial.</w:t>
      </w:r>
    </w:p>
    <w:p w14:paraId="4FE8F1DE" w14:textId="77777777" w:rsidR="001F2898" w:rsidRDefault="001F2898" w:rsidP="003E7A05">
      <w:pPr>
        <w:ind w:right="119" w:firstLine="0"/>
        <w:jc w:val="both"/>
        <w:rPr>
          <w:rFonts w:ascii="Times New Roman" w:eastAsia="Times New Roman" w:hAnsi="Times New Roman" w:cs="Times New Roman"/>
          <w:sz w:val="24"/>
          <w:szCs w:val="24"/>
          <w:lang w:eastAsia="pt-BR"/>
        </w:rPr>
      </w:pPr>
    </w:p>
    <w:p w14:paraId="3693A558" w14:textId="77777777" w:rsidR="001F2898" w:rsidRPr="001063C8" w:rsidRDefault="00A61C3A" w:rsidP="004B1E97">
      <w:pPr>
        <w:spacing w:before="240"/>
        <w:ind w:right="120" w:firstLine="0"/>
        <w:jc w:val="both"/>
        <w:rPr>
          <w:rFonts w:ascii="Times New Roman" w:eastAsia="Times New Roman" w:hAnsi="Times New Roman" w:cs="Times New Roman"/>
          <w:b/>
          <w:bCs/>
          <w:sz w:val="24"/>
          <w:szCs w:val="24"/>
          <w:lang w:eastAsia="pt-BR"/>
        </w:rPr>
      </w:pPr>
      <w:bookmarkStart w:id="18" w:name="_Toc67066981"/>
      <w:r w:rsidRPr="001063C8">
        <w:rPr>
          <w:rFonts w:ascii="Times New Roman" w:eastAsia="Times New Roman" w:hAnsi="Times New Roman" w:cs="Times New Roman"/>
          <w:b/>
          <w:bCs/>
          <w:sz w:val="24"/>
          <w:szCs w:val="24"/>
          <w:lang w:eastAsia="pt-BR"/>
        </w:rPr>
        <w:t>8. PROPOSTAS DE ENCAMINHAMENTO</w:t>
      </w:r>
      <w:bookmarkEnd w:id="18"/>
    </w:p>
    <w:p w14:paraId="593AF6AF" w14:textId="62386065" w:rsidR="00B42CA9" w:rsidRDefault="005729EF" w:rsidP="003E7A05">
      <w:pPr>
        <w:spacing w:before="240"/>
        <w:ind w:right="120" w:firstLine="70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Ante ao exposto, submetem-se </w:t>
      </w:r>
      <w:r w:rsidR="00BB34DD">
        <w:rPr>
          <w:rFonts w:ascii="Times New Roman" w:eastAsia="Times New Roman" w:hAnsi="Times New Roman" w:cs="Times New Roman"/>
          <w:bCs/>
          <w:sz w:val="24"/>
          <w:szCs w:val="24"/>
          <w:lang w:eastAsia="pt-BR"/>
        </w:rPr>
        <w:t>os autos</w:t>
      </w:r>
      <w:r>
        <w:rPr>
          <w:rFonts w:ascii="Times New Roman" w:eastAsia="Times New Roman" w:hAnsi="Times New Roman" w:cs="Times New Roman"/>
          <w:bCs/>
          <w:sz w:val="24"/>
          <w:szCs w:val="24"/>
          <w:lang w:eastAsia="pt-BR"/>
        </w:rPr>
        <w:t xml:space="preserve"> à consideração superior</w:t>
      </w:r>
      <w:r w:rsidR="00B42CA9">
        <w:rPr>
          <w:rFonts w:ascii="Times New Roman" w:eastAsia="Times New Roman" w:hAnsi="Times New Roman" w:cs="Times New Roman"/>
          <w:bCs/>
          <w:sz w:val="24"/>
          <w:szCs w:val="24"/>
          <w:lang w:eastAsia="pt-BR"/>
        </w:rPr>
        <w:t>, para conhecimento, propondo encaminhamento à unidade administrativa indicada no quadro abaixo:</w:t>
      </w:r>
    </w:p>
    <w:p w14:paraId="46168FFC" w14:textId="77777777" w:rsidR="005702C5" w:rsidRDefault="005702C5" w:rsidP="003E7A05">
      <w:pPr>
        <w:ind w:right="120" w:firstLine="0"/>
        <w:jc w:val="center"/>
        <w:rPr>
          <w:rFonts w:ascii="Times New Roman" w:eastAsia="Times New Roman" w:hAnsi="Times New Roman" w:cs="Times New Roman"/>
          <w:b/>
          <w:bCs/>
          <w:lang w:eastAsia="pt-BR"/>
        </w:rPr>
      </w:pPr>
    </w:p>
    <w:p w14:paraId="6A9E8C6A" w14:textId="46F2E780" w:rsidR="004E255C" w:rsidRPr="007E4B36" w:rsidRDefault="00DB6161" w:rsidP="003E7A05">
      <w:pPr>
        <w:ind w:right="120" w:firstLine="0"/>
        <w:jc w:val="center"/>
        <w:rPr>
          <w:rFonts w:ascii="Times New Roman" w:eastAsia="Times New Roman" w:hAnsi="Times New Roman" w:cs="Times New Roman"/>
          <w:b/>
          <w:bCs/>
          <w:lang w:eastAsia="pt-BR"/>
        </w:rPr>
      </w:pPr>
      <w:r w:rsidRPr="007E4B36">
        <w:rPr>
          <w:rFonts w:ascii="Times New Roman" w:eastAsia="Times New Roman" w:hAnsi="Times New Roman" w:cs="Times New Roman"/>
          <w:b/>
          <w:bCs/>
          <w:lang w:eastAsia="pt-BR"/>
        </w:rPr>
        <w:t>Quadro 5 – Síntese das recomendações com indicação da unidade responsável</w:t>
      </w:r>
    </w:p>
    <w:tbl>
      <w:tblPr>
        <w:tblW w:w="8781" w:type="dxa"/>
        <w:jc w:val="center"/>
        <w:tblCellMar>
          <w:left w:w="0" w:type="dxa"/>
          <w:right w:w="0" w:type="dxa"/>
        </w:tblCellMar>
        <w:tblLook w:val="04A0" w:firstRow="1" w:lastRow="0" w:firstColumn="1" w:lastColumn="0" w:noHBand="0" w:noVBand="1"/>
      </w:tblPr>
      <w:tblGrid>
        <w:gridCol w:w="985"/>
        <w:gridCol w:w="5528"/>
        <w:gridCol w:w="2268"/>
      </w:tblGrid>
      <w:tr w:rsidR="004E255C" w:rsidRPr="008A369A" w14:paraId="1E736E0B" w14:textId="77777777" w:rsidTr="00FA1A57">
        <w:trPr>
          <w:trHeight w:val="286"/>
          <w:jc w:val="center"/>
        </w:trPr>
        <w:tc>
          <w:tcPr>
            <w:tcW w:w="985" w:type="dxa"/>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48" w:type="dxa"/>
              <w:left w:w="48" w:type="dxa"/>
              <w:bottom w:w="48" w:type="dxa"/>
              <w:right w:w="48" w:type="dxa"/>
            </w:tcMar>
            <w:vAlign w:val="center"/>
            <w:hideMark/>
          </w:tcPr>
          <w:p w14:paraId="5F7D9E7D" w14:textId="77777777" w:rsidR="004E255C" w:rsidRPr="008A369A" w:rsidRDefault="004E255C" w:rsidP="003E7A05">
            <w:pPr>
              <w:ind w:left="60" w:right="60" w:firstLine="0"/>
              <w:jc w:val="center"/>
              <w:rPr>
                <w:rFonts w:ascii="Times New Roman" w:eastAsia="Times New Roman" w:hAnsi="Times New Roman" w:cs="Times New Roman"/>
                <w:color w:val="000000"/>
                <w:lang w:eastAsia="pt-BR"/>
              </w:rPr>
            </w:pPr>
            <w:r w:rsidRPr="008A369A">
              <w:rPr>
                <w:rFonts w:ascii="Times New Roman" w:eastAsia="Times New Roman" w:hAnsi="Times New Roman" w:cs="Times New Roman"/>
                <w:b/>
                <w:bCs/>
                <w:color w:val="000000"/>
                <w:lang w:eastAsia="pt-BR"/>
              </w:rPr>
              <w:t>Item</w:t>
            </w:r>
          </w:p>
        </w:tc>
        <w:tc>
          <w:tcPr>
            <w:tcW w:w="5528" w:type="dxa"/>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48" w:type="dxa"/>
              <w:left w:w="48" w:type="dxa"/>
              <w:bottom w:w="48" w:type="dxa"/>
              <w:right w:w="48" w:type="dxa"/>
            </w:tcMar>
            <w:vAlign w:val="center"/>
            <w:hideMark/>
          </w:tcPr>
          <w:p w14:paraId="71361565" w14:textId="77777777" w:rsidR="004E255C" w:rsidRPr="008A369A" w:rsidRDefault="004E255C" w:rsidP="003E7A05">
            <w:pPr>
              <w:ind w:left="60" w:right="60" w:firstLine="0"/>
              <w:jc w:val="center"/>
              <w:rPr>
                <w:rFonts w:ascii="Times New Roman" w:eastAsia="Times New Roman" w:hAnsi="Times New Roman" w:cs="Times New Roman"/>
                <w:color w:val="000000"/>
                <w:lang w:eastAsia="pt-BR"/>
              </w:rPr>
            </w:pPr>
            <w:r w:rsidRPr="008A369A">
              <w:rPr>
                <w:rFonts w:ascii="Times New Roman" w:eastAsia="Times New Roman" w:hAnsi="Times New Roman" w:cs="Times New Roman"/>
                <w:b/>
                <w:bCs/>
                <w:color w:val="000000"/>
                <w:lang w:eastAsia="pt-BR"/>
              </w:rPr>
              <w:t>Recomendação de Auditoria</w:t>
            </w:r>
          </w:p>
        </w:tc>
        <w:tc>
          <w:tcPr>
            <w:tcW w:w="2268" w:type="dxa"/>
            <w:tcBorders>
              <w:top w:val="single" w:sz="6" w:space="0" w:color="000000"/>
              <w:left w:val="single" w:sz="6" w:space="0" w:color="000000"/>
              <w:bottom w:val="single" w:sz="6" w:space="0" w:color="000000"/>
              <w:right w:val="single" w:sz="6" w:space="0" w:color="000000"/>
            </w:tcBorders>
            <w:shd w:val="clear" w:color="auto" w:fill="EDEDED" w:themeFill="accent3" w:themeFillTint="33"/>
            <w:tcMar>
              <w:top w:w="48" w:type="dxa"/>
              <w:left w:w="48" w:type="dxa"/>
              <w:bottom w:w="48" w:type="dxa"/>
              <w:right w:w="48" w:type="dxa"/>
            </w:tcMar>
            <w:vAlign w:val="center"/>
            <w:hideMark/>
          </w:tcPr>
          <w:p w14:paraId="42DFCACA" w14:textId="3343486F" w:rsidR="004E255C" w:rsidRPr="008A369A" w:rsidRDefault="004E255C" w:rsidP="003E7A05">
            <w:pPr>
              <w:ind w:left="60" w:right="60" w:firstLine="0"/>
              <w:jc w:val="center"/>
              <w:rPr>
                <w:rFonts w:ascii="Times New Roman" w:eastAsia="Times New Roman" w:hAnsi="Times New Roman" w:cs="Times New Roman"/>
                <w:color w:val="000000"/>
                <w:lang w:eastAsia="pt-BR"/>
              </w:rPr>
            </w:pPr>
            <w:r w:rsidRPr="008A369A">
              <w:rPr>
                <w:rFonts w:ascii="Times New Roman" w:eastAsia="Times New Roman" w:hAnsi="Times New Roman" w:cs="Times New Roman"/>
                <w:b/>
                <w:bCs/>
                <w:color w:val="000000"/>
                <w:lang w:eastAsia="pt-BR"/>
              </w:rPr>
              <w:t>Unidade</w:t>
            </w:r>
            <w:r w:rsidR="00187C9A">
              <w:rPr>
                <w:rFonts w:ascii="Times New Roman" w:eastAsia="Times New Roman" w:hAnsi="Times New Roman" w:cs="Times New Roman"/>
                <w:b/>
                <w:bCs/>
                <w:color w:val="000000"/>
                <w:lang w:eastAsia="pt-BR"/>
              </w:rPr>
              <w:t xml:space="preserve"> </w:t>
            </w:r>
            <w:r w:rsidRPr="008A369A">
              <w:rPr>
                <w:rFonts w:ascii="Times New Roman" w:eastAsia="Times New Roman" w:hAnsi="Times New Roman" w:cs="Times New Roman"/>
                <w:b/>
                <w:bCs/>
                <w:color w:val="000000"/>
                <w:lang w:eastAsia="pt-BR"/>
              </w:rPr>
              <w:t>Responsáve</w:t>
            </w:r>
            <w:r w:rsidR="00187C9A">
              <w:rPr>
                <w:rFonts w:ascii="Times New Roman" w:eastAsia="Times New Roman" w:hAnsi="Times New Roman" w:cs="Times New Roman"/>
                <w:b/>
                <w:bCs/>
                <w:color w:val="000000"/>
                <w:lang w:eastAsia="pt-BR"/>
              </w:rPr>
              <w:t>l</w:t>
            </w:r>
          </w:p>
        </w:tc>
      </w:tr>
      <w:tr w:rsidR="004E255C" w:rsidRPr="008A369A" w14:paraId="48AB8ABA" w14:textId="77777777" w:rsidTr="00FA1A57">
        <w:trPr>
          <w:jc w:val="center"/>
        </w:trPr>
        <w:tc>
          <w:tcPr>
            <w:tcW w:w="985"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4D515A7C" w14:textId="77777777" w:rsidR="004E255C" w:rsidRPr="008A369A" w:rsidRDefault="00D7625D" w:rsidP="003E7A05">
            <w:pPr>
              <w:ind w:left="60" w:right="60" w:firstLine="0"/>
              <w:jc w:val="center"/>
              <w:rPr>
                <w:rFonts w:ascii="Times New Roman" w:eastAsia="Times New Roman" w:hAnsi="Times New Roman" w:cs="Times New Roman"/>
                <w:color w:val="000000"/>
                <w:lang w:eastAsia="pt-BR"/>
              </w:rPr>
            </w:pPr>
            <w:r w:rsidRPr="008A369A">
              <w:rPr>
                <w:rFonts w:ascii="Times New Roman" w:eastAsia="Times New Roman" w:hAnsi="Times New Roman" w:cs="Times New Roman"/>
                <w:color w:val="000000"/>
                <w:lang w:eastAsia="pt-BR"/>
              </w:rPr>
              <w:t>4.1</w:t>
            </w:r>
          </w:p>
        </w:tc>
        <w:tc>
          <w:tcPr>
            <w:tcW w:w="5528"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0D0E15CF" w14:textId="36B708BA" w:rsidR="004E255C" w:rsidRPr="0054694F" w:rsidRDefault="0054694F" w:rsidP="0054694F">
            <w:pPr>
              <w:pStyle w:val="PargrafodaLista"/>
              <w:numPr>
                <w:ilvl w:val="0"/>
                <w:numId w:val="26"/>
              </w:numPr>
              <w:tabs>
                <w:tab w:val="clear" w:pos="720"/>
                <w:tab w:val="left" w:pos="1134"/>
              </w:tabs>
              <w:spacing w:before="240"/>
              <w:ind w:left="375" w:right="119" w:firstLine="0"/>
              <w:jc w:val="both"/>
              <w:rPr>
                <w:rFonts w:ascii="Times New Roman" w:eastAsia="Times New Roman" w:hAnsi="Times New Roman" w:cs="Times New Roman"/>
                <w:color w:val="000000"/>
                <w:lang w:eastAsia="pt-BR"/>
              </w:rPr>
            </w:pPr>
            <w:r w:rsidRPr="0054694F">
              <w:rPr>
                <w:rFonts w:ascii="Times New Roman" w:eastAsia="Times New Roman" w:hAnsi="Times New Roman" w:cs="Times New Roman"/>
                <w:color w:val="000000"/>
                <w:lang w:eastAsia="pt-BR"/>
              </w:rPr>
              <w:t xml:space="preserve">Considerando-se que o Tribunal se encontra em processo de contratação de um novo sistema patrimonial, recomenda-se à SEMAP/SUMES/SECAM avaliar a possibilidade de realizar, previamente à migração dos dados, a reclassificação dos bens com valor inferior a R$ 627,25 para material de consumo, a critério da administração. Essa medida poderá otimizar os processos de controle patrimonial no novo sistema, </w:t>
            </w:r>
            <w:r w:rsidRPr="0054694F">
              <w:rPr>
                <w:rFonts w:ascii="Times New Roman" w:eastAsia="Times New Roman" w:hAnsi="Times New Roman" w:cs="Times New Roman"/>
                <w:color w:val="000000"/>
                <w:lang w:eastAsia="pt-BR"/>
              </w:rPr>
              <w:lastRenderedPageBreak/>
              <w:t>reduzindo o volume de itens cadastrados como permanentes e contribuindo para maior eficiência na gestão dos bens.</w:t>
            </w:r>
          </w:p>
        </w:tc>
        <w:tc>
          <w:tcPr>
            <w:tcW w:w="2268"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70675EC4" w14:textId="77777777" w:rsidR="004E255C" w:rsidRPr="008A369A" w:rsidRDefault="00AD5298" w:rsidP="003E7A05">
            <w:pPr>
              <w:ind w:left="60" w:right="60" w:firstLine="0"/>
              <w:jc w:val="center"/>
              <w:rPr>
                <w:rFonts w:ascii="Times New Roman" w:eastAsia="Times New Roman" w:hAnsi="Times New Roman" w:cs="Times New Roman"/>
                <w:color w:val="000000"/>
                <w:lang w:eastAsia="pt-BR"/>
              </w:rPr>
            </w:pPr>
            <w:r w:rsidRPr="008A369A">
              <w:rPr>
                <w:rFonts w:ascii="Times New Roman" w:eastAsia="Times New Roman" w:hAnsi="Times New Roman" w:cs="Times New Roman"/>
                <w:color w:val="000000"/>
                <w:lang w:eastAsia="pt-BR"/>
              </w:rPr>
              <w:lastRenderedPageBreak/>
              <w:t>Secretaria de Administração e Serviços - SECAM</w:t>
            </w:r>
          </w:p>
        </w:tc>
      </w:tr>
      <w:tr w:rsidR="004E255C" w:rsidRPr="008A369A" w14:paraId="0EB18A66" w14:textId="77777777" w:rsidTr="00FA1A57">
        <w:trPr>
          <w:jc w:val="center"/>
        </w:trPr>
        <w:tc>
          <w:tcPr>
            <w:tcW w:w="985"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77F5CF6B" w14:textId="77777777" w:rsidR="004E255C" w:rsidRPr="008A369A" w:rsidRDefault="00D7625D" w:rsidP="003E7A05">
            <w:pPr>
              <w:ind w:left="60" w:right="60" w:firstLine="0"/>
              <w:jc w:val="center"/>
              <w:rPr>
                <w:rFonts w:ascii="Times New Roman" w:eastAsia="Times New Roman" w:hAnsi="Times New Roman" w:cs="Times New Roman"/>
                <w:color w:val="000000"/>
                <w:lang w:eastAsia="pt-BR"/>
              </w:rPr>
            </w:pPr>
            <w:r w:rsidRPr="008A369A">
              <w:rPr>
                <w:rFonts w:ascii="Times New Roman" w:eastAsia="Times New Roman" w:hAnsi="Times New Roman" w:cs="Times New Roman"/>
                <w:color w:val="000000"/>
                <w:lang w:eastAsia="pt-BR"/>
              </w:rPr>
              <w:t>4.2</w:t>
            </w:r>
          </w:p>
        </w:tc>
        <w:tc>
          <w:tcPr>
            <w:tcW w:w="5528"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6EF43B64" w14:textId="7ACA2E71" w:rsidR="004E255C" w:rsidRPr="0054694F" w:rsidRDefault="0054694F" w:rsidP="0054694F">
            <w:pPr>
              <w:pStyle w:val="PargrafodaLista"/>
              <w:numPr>
                <w:ilvl w:val="0"/>
                <w:numId w:val="27"/>
              </w:numPr>
              <w:tabs>
                <w:tab w:val="left" w:pos="1134"/>
              </w:tabs>
              <w:spacing w:before="240"/>
              <w:ind w:right="119"/>
              <w:jc w:val="both"/>
              <w:rPr>
                <w:rFonts w:ascii="Times New Roman" w:eastAsia="Times New Roman" w:hAnsi="Times New Roman" w:cs="Times New Roman"/>
                <w:color w:val="000000"/>
                <w:lang w:eastAsia="pt-BR"/>
              </w:rPr>
            </w:pPr>
            <w:r w:rsidRPr="0054694F">
              <w:rPr>
                <w:rFonts w:ascii="Times New Roman" w:eastAsia="Times New Roman" w:hAnsi="Times New Roman" w:cs="Times New Roman"/>
                <w:color w:val="000000"/>
                <w:lang w:eastAsia="pt-BR"/>
              </w:rPr>
              <w:t>Recomenda-se à SEMAP/SUMES/SECAM a observância dos procedimentos previstos na </w:t>
            </w:r>
            <w:proofErr w:type="spellStart"/>
            <w:r>
              <w:fldChar w:fldCharType="begin"/>
            </w:r>
            <w:r>
              <w:instrText>HYPERLINK "https://sisweb.tesouro.gov.br/apex/cosis/manuais/siafi/020330" \t "_blank"</w:instrText>
            </w:r>
            <w:r>
              <w:fldChar w:fldCharType="separate"/>
            </w:r>
            <w:r w:rsidRPr="0054694F">
              <w:rPr>
                <w:rStyle w:val="Hyperlink"/>
                <w:rFonts w:ascii="Times New Roman" w:eastAsia="Times New Roman" w:hAnsi="Times New Roman" w:cs="Times New Roman"/>
                <w:lang w:eastAsia="pt-BR"/>
              </w:rPr>
              <w:t>Macrofunção</w:t>
            </w:r>
            <w:proofErr w:type="spellEnd"/>
            <w:r w:rsidRPr="0054694F">
              <w:rPr>
                <w:rStyle w:val="Hyperlink"/>
                <w:rFonts w:ascii="Times New Roman" w:eastAsia="Times New Roman" w:hAnsi="Times New Roman" w:cs="Times New Roman"/>
                <w:lang w:eastAsia="pt-BR"/>
              </w:rPr>
              <w:t xml:space="preserve"> SIAFI 020330</w:t>
            </w:r>
            <w:r>
              <w:fldChar w:fldCharType="end"/>
            </w:r>
            <w:r w:rsidRPr="0054694F">
              <w:rPr>
                <w:rFonts w:ascii="Times New Roman" w:eastAsia="Times New Roman" w:hAnsi="Times New Roman" w:cs="Times New Roman"/>
                <w:color w:val="000000"/>
                <w:lang w:eastAsia="pt-BR"/>
              </w:rPr>
              <w:t> para o tratamento de bens não localizados, especialmente quanto à reclassificação prévia para a conta 12311.99.07 – Bens Não Localizados e à apuração de responsabilidade, quando confirmada a não localização definitiva do bem, conforme também dispõe o Módulo 7 da </w:t>
            </w:r>
            <w:hyperlink r:id="rId55" w:tgtFrame="_blank" w:history="1">
              <w:r w:rsidRPr="0054694F">
                <w:rPr>
                  <w:rStyle w:val="Hyperlink"/>
                  <w:rFonts w:ascii="Times New Roman" w:eastAsia="Times New Roman" w:hAnsi="Times New Roman" w:cs="Times New Roman"/>
                  <w:lang w:eastAsia="pt-BR"/>
                </w:rPr>
                <w:t>IN 14-15</w:t>
              </w:r>
            </w:hyperlink>
            <w:r w:rsidRPr="0054694F">
              <w:rPr>
                <w:rFonts w:ascii="Times New Roman" w:eastAsia="Times New Roman" w:hAnsi="Times New Roman" w:cs="Times New Roman"/>
                <w:color w:val="000000"/>
                <w:lang w:eastAsia="pt-BR"/>
              </w:rPr>
              <w:t> do TRF1. </w:t>
            </w:r>
          </w:p>
        </w:tc>
        <w:tc>
          <w:tcPr>
            <w:tcW w:w="2268" w:type="dxa"/>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2A977007" w14:textId="77777777" w:rsidR="004E255C" w:rsidRPr="008A369A" w:rsidRDefault="00A4286C" w:rsidP="003E7A05">
            <w:pPr>
              <w:ind w:left="60" w:right="60" w:firstLine="0"/>
              <w:jc w:val="center"/>
              <w:rPr>
                <w:rFonts w:ascii="Times New Roman" w:eastAsia="Times New Roman" w:hAnsi="Times New Roman" w:cs="Times New Roman"/>
                <w:color w:val="000000"/>
                <w:lang w:eastAsia="pt-BR"/>
              </w:rPr>
            </w:pPr>
            <w:r w:rsidRPr="008A369A">
              <w:rPr>
                <w:rFonts w:ascii="Times New Roman" w:eastAsia="Times New Roman" w:hAnsi="Times New Roman" w:cs="Times New Roman"/>
                <w:color w:val="000000"/>
                <w:lang w:eastAsia="pt-BR"/>
              </w:rPr>
              <w:t>Secretaria de Administração e Serviços - SECAM</w:t>
            </w:r>
          </w:p>
        </w:tc>
      </w:tr>
    </w:tbl>
    <w:p w14:paraId="6313C856" w14:textId="77777777" w:rsidR="005729EF" w:rsidRPr="006F6462" w:rsidRDefault="006F6462" w:rsidP="003E7A05">
      <w:pPr>
        <w:ind w:right="119" w:firstLine="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w:t>
      </w:r>
      <w:r w:rsidRPr="006F6462">
        <w:rPr>
          <w:rFonts w:ascii="Times New Roman" w:eastAsia="Times New Roman" w:hAnsi="Times New Roman" w:cs="Times New Roman"/>
          <w:color w:val="000000"/>
          <w:sz w:val="20"/>
          <w:szCs w:val="20"/>
          <w:lang w:eastAsia="pt-BR"/>
        </w:rPr>
        <w:t>Fonte: Elaborado pela equipe de auditoria</w:t>
      </w:r>
    </w:p>
    <w:p w14:paraId="08F984EE" w14:textId="77777777" w:rsidR="005648DF" w:rsidRDefault="005648DF" w:rsidP="003E7A05">
      <w:pPr>
        <w:spacing w:before="240"/>
        <w:ind w:right="119" w:firstLine="0"/>
        <w:jc w:val="both"/>
        <w:rPr>
          <w:rFonts w:ascii="Times New Roman" w:hAnsi="Times New Roman" w:cs="Times New Roman"/>
          <w:color w:val="000000"/>
        </w:rPr>
      </w:pPr>
    </w:p>
    <w:p w14:paraId="676D5156" w14:textId="77777777" w:rsidR="001F2898" w:rsidRPr="001063C8" w:rsidRDefault="006B657A" w:rsidP="003E7A05">
      <w:pPr>
        <w:ind w:right="119" w:firstLine="0"/>
        <w:jc w:val="center"/>
        <w:rPr>
          <w:rFonts w:ascii="Times New Roman" w:hAnsi="Times New Roman" w:cs="Times New Roman"/>
          <w:color w:val="000000"/>
        </w:rPr>
      </w:pPr>
      <w:r w:rsidRPr="001063C8">
        <w:rPr>
          <w:rFonts w:ascii="Times New Roman" w:hAnsi="Times New Roman" w:cs="Times New Roman"/>
          <w:color w:val="000000"/>
        </w:rPr>
        <w:t>Karla Pereira de Lima</w:t>
      </w:r>
    </w:p>
    <w:p w14:paraId="67D636E4" w14:textId="77777777" w:rsidR="001F2898" w:rsidRDefault="001063C8" w:rsidP="003E7A05">
      <w:pPr>
        <w:ind w:right="119" w:firstLine="0"/>
        <w:jc w:val="center"/>
        <w:rPr>
          <w:rFonts w:ascii="Times New Roman" w:hAnsi="Times New Roman" w:cs="Times New Roman"/>
          <w:color w:val="000000"/>
        </w:rPr>
      </w:pPr>
      <w:r>
        <w:rPr>
          <w:rFonts w:ascii="Times New Roman" w:hAnsi="Times New Roman" w:cs="Times New Roman"/>
          <w:color w:val="000000"/>
        </w:rPr>
        <w:t>Supervisora da Seção de Auditoria de Contabilidade e Finanças</w:t>
      </w:r>
      <w:r w:rsidR="00745785">
        <w:rPr>
          <w:rFonts w:ascii="Times New Roman" w:hAnsi="Times New Roman" w:cs="Times New Roman"/>
          <w:color w:val="000000"/>
        </w:rPr>
        <w:t xml:space="preserve"> - SEAUC</w:t>
      </w:r>
    </w:p>
    <w:p w14:paraId="2004C330" w14:textId="77777777" w:rsidR="001063C8" w:rsidRDefault="001063C8" w:rsidP="003E7A05">
      <w:pPr>
        <w:ind w:right="119" w:firstLine="0"/>
        <w:jc w:val="center"/>
        <w:rPr>
          <w:rFonts w:ascii="Times New Roman" w:hAnsi="Times New Roman" w:cs="Times New Roman"/>
          <w:color w:val="000000"/>
        </w:rPr>
      </w:pPr>
    </w:p>
    <w:p w14:paraId="71C0D3AA" w14:textId="77777777" w:rsidR="001063C8" w:rsidRDefault="001063C8" w:rsidP="003E7A05">
      <w:pPr>
        <w:ind w:right="119" w:firstLine="0"/>
        <w:jc w:val="center"/>
        <w:rPr>
          <w:rFonts w:ascii="Times New Roman" w:hAnsi="Times New Roman" w:cs="Times New Roman"/>
          <w:color w:val="000000"/>
        </w:rPr>
      </w:pPr>
      <w:proofErr w:type="spellStart"/>
      <w:r>
        <w:rPr>
          <w:rFonts w:ascii="Times New Roman" w:hAnsi="Times New Roman" w:cs="Times New Roman"/>
          <w:color w:val="000000"/>
        </w:rPr>
        <w:t>Wanderlene</w:t>
      </w:r>
      <w:proofErr w:type="spellEnd"/>
      <w:r>
        <w:rPr>
          <w:rFonts w:ascii="Times New Roman" w:hAnsi="Times New Roman" w:cs="Times New Roman"/>
          <w:color w:val="000000"/>
        </w:rPr>
        <w:t xml:space="preserve"> Maria Santos Brandão</w:t>
      </w:r>
    </w:p>
    <w:p w14:paraId="0D8508B0" w14:textId="77777777" w:rsidR="001063C8" w:rsidRPr="001063C8" w:rsidRDefault="001063C8" w:rsidP="003E7A05">
      <w:pPr>
        <w:ind w:right="119" w:firstLine="0"/>
        <w:jc w:val="center"/>
        <w:rPr>
          <w:rFonts w:ascii="Times New Roman" w:hAnsi="Times New Roman" w:cs="Times New Roman"/>
          <w:color w:val="000000"/>
        </w:rPr>
      </w:pPr>
      <w:r>
        <w:rPr>
          <w:rFonts w:ascii="Times New Roman" w:hAnsi="Times New Roman" w:cs="Times New Roman"/>
          <w:color w:val="000000"/>
        </w:rPr>
        <w:t>Supervisora da Seção de Auditoria de Administração e Orçamento</w:t>
      </w:r>
      <w:r w:rsidR="00745785">
        <w:rPr>
          <w:rFonts w:ascii="Times New Roman" w:hAnsi="Times New Roman" w:cs="Times New Roman"/>
          <w:color w:val="000000"/>
        </w:rPr>
        <w:t xml:space="preserve"> - SEAUD</w:t>
      </w:r>
    </w:p>
    <w:p w14:paraId="43AAF904" w14:textId="77777777" w:rsidR="001F2898" w:rsidRPr="001063C8" w:rsidRDefault="001F2898" w:rsidP="003E7A05">
      <w:pPr>
        <w:ind w:right="119" w:firstLine="0"/>
        <w:jc w:val="center"/>
        <w:rPr>
          <w:rFonts w:ascii="Times New Roman" w:hAnsi="Times New Roman" w:cs="Times New Roman"/>
          <w:color w:val="000000"/>
        </w:rPr>
      </w:pPr>
    </w:p>
    <w:p w14:paraId="111FE752" w14:textId="77777777" w:rsidR="001F2898" w:rsidRPr="001063C8" w:rsidRDefault="006B657A" w:rsidP="003E7A05">
      <w:pPr>
        <w:ind w:right="119" w:firstLine="0"/>
        <w:jc w:val="center"/>
        <w:rPr>
          <w:rFonts w:ascii="Times New Roman" w:hAnsi="Times New Roman" w:cs="Times New Roman"/>
          <w:color w:val="000000"/>
        </w:rPr>
      </w:pPr>
      <w:r w:rsidRPr="001063C8">
        <w:rPr>
          <w:rFonts w:ascii="Times New Roman" w:hAnsi="Times New Roman" w:cs="Times New Roman"/>
          <w:color w:val="000000"/>
        </w:rPr>
        <w:t>Sônia Maria dos Santos Lopes</w:t>
      </w:r>
    </w:p>
    <w:p w14:paraId="0FF9F89A" w14:textId="77777777" w:rsidR="001F2898" w:rsidRPr="001063C8" w:rsidRDefault="006B657A" w:rsidP="003E7A05">
      <w:pPr>
        <w:ind w:right="119" w:firstLine="0"/>
        <w:jc w:val="center"/>
        <w:rPr>
          <w:rFonts w:ascii="Times New Roman" w:hAnsi="Times New Roman" w:cs="Times New Roman"/>
          <w:color w:val="000000"/>
        </w:rPr>
      </w:pPr>
      <w:r w:rsidRPr="001063C8">
        <w:rPr>
          <w:rFonts w:ascii="Times New Roman" w:hAnsi="Times New Roman" w:cs="Times New Roman"/>
          <w:color w:val="000000"/>
        </w:rPr>
        <w:t>Diretora do Núcleo de Auditoria de Gestão Administrativa, Contábil e Patrimonial – NUAUG</w:t>
      </w:r>
    </w:p>
    <w:p w14:paraId="03C2EE30" w14:textId="77777777" w:rsidR="001F2898" w:rsidRPr="001063C8" w:rsidRDefault="001F2898" w:rsidP="003E7A05">
      <w:pPr>
        <w:ind w:right="119" w:firstLine="0"/>
        <w:jc w:val="center"/>
        <w:rPr>
          <w:rFonts w:ascii="Times New Roman" w:hAnsi="Times New Roman" w:cs="Times New Roman"/>
          <w:color w:val="000000"/>
        </w:rPr>
      </w:pPr>
    </w:p>
    <w:p w14:paraId="68384A6D" w14:textId="77777777" w:rsidR="001F2898" w:rsidRPr="001063C8" w:rsidRDefault="006B657A" w:rsidP="003E7A05">
      <w:pPr>
        <w:ind w:right="119" w:firstLine="0"/>
        <w:jc w:val="center"/>
        <w:rPr>
          <w:rFonts w:ascii="Times New Roman" w:hAnsi="Times New Roman" w:cs="Times New Roman"/>
          <w:color w:val="000000"/>
        </w:rPr>
      </w:pPr>
      <w:r w:rsidRPr="001063C8">
        <w:rPr>
          <w:rFonts w:ascii="Times New Roman" w:hAnsi="Times New Roman" w:cs="Times New Roman"/>
          <w:color w:val="000000"/>
        </w:rPr>
        <w:t>Cristiano Amaro</w:t>
      </w:r>
    </w:p>
    <w:p w14:paraId="528C3121" w14:textId="77777777" w:rsidR="001F2898" w:rsidRPr="001063C8" w:rsidRDefault="006B657A" w:rsidP="003E7A05">
      <w:pPr>
        <w:ind w:right="119" w:firstLine="0"/>
        <w:jc w:val="center"/>
        <w:rPr>
          <w:rFonts w:ascii="Times New Roman" w:hAnsi="Times New Roman" w:cs="Times New Roman"/>
          <w:color w:val="000000"/>
        </w:rPr>
      </w:pPr>
      <w:r w:rsidRPr="001063C8">
        <w:rPr>
          <w:rFonts w:ascii="Times New Roman" w:hAnsi="Times New Roman" w:cs="Times New Roman"/>
          <w:color w:val="000000"/>
        </w:rPr>
        <w:t>Diretor do Núcleo de Auditoria de Gestão de Pessoas - NUAGP</w:t>
      </w:r>
    </w:p>
    <w:p w14:paraId="6745B0A7" w14:textId="77777777" w:rsidR="001F2898" w:rsidRPr="001063C8" w:rsidRDefault="001F2898" w:rsidP="003E7A05">
      <w:pPr>
        <w:ind w:right="119" w:firstLine="0"/>
        <w:jc w:val="center"/>
        <w:rPr>
          <w:rFonts w:ascii="Times New Roman" w:hAnsi="Times New Roman" w:cs="Times New Roman"/>
          <w:color w:val="000000"/>
        </w:rPr>
      </w:pPr>
    </w:p>
    <w:p w14:paraId="7796E58F" w14:textId="77777777" w:rsidR="001F2898" w:rsidRPr="001063C8" w:rsidRDefault="006B657A" w:rsidP="003E7A05">
      <w:pPr>
        <w:ind w:right="119" w:firstLine="0"/>
        <w:jc w:val="center"/>
        <w:rPr>
          <w:rFonts w:ascii="Times New Roman" w:hAnsi="Times New Roman" w:cs="Times New Roman"/>
          <w:color w:val="000000"/>
        </w:rPr>
      </w:pPr>
      <w:r w:rsidRPr="001063C8">
        <w:rPr>
          <w:rFonts w:ascii="Times New Roman" w:hAnsi="Times New Roman" w:cs="Times New Roman"/>
          <w:color w:val="000000"/>
        </w:rPr>
        <w:t>Luiz Guilherme Piva</w:t>
      </w:r>
    </w:p>
    <w:p w14:paraId="72F1988E" w14:textId="77777777" w:rsidR="001F2898" w:rsidRPr="001063C8" w:rsidRDefault="006B657A" w:rsidP="003E7A05">
      <w:pPr>
        <w:ind w:right="119" w:firstLine="0"/>
        <w:jc w:val="center"/>
        <w:rPr>
          <w:rFonts w:ascii="Times New Roman" w:hAnsi="Times New Roman" w:cs="Times New Roman"/>
          <w:color w:val="000000"/>
        </w:rPr>
      </w:pPr>
      <w:r w:rsidRPr="001063C8">
        <w:rPr>
          <w:rFonts w:ascii="Times New Roman" w:hAnsi="Times New Roman" w:cs="Times New Roman"/>
          <w:color w:val="000000"/>
        </w:rPr>
        <w:t>Diretor da Secretaria de Auditoria Interna - SECAU</w:t>
      </w:r>
    </w:p>
    <w:p w14:paraId="3976784C" w14:textId="77777777" w:rsidR="001F2898" w:rsidRDefault="00A61C3A" w:rsidP="003E7A05">
      <w:pPr>
        <w:ind w:right="120"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sz w:val="24"/>
          <w:szCs w:val="24"/>
          <w:lang w:eastAsia="pt-BR"/>
        </w:rPr>
        <w:t>___________________________________________________________________________</w:t>
      </w:r>
    </w:p>
    <w:p w14:paraId="10F1C711" w14:textId="77777777" w:rsidR="001F2898" w:rsidRDefault="00A61C3A" w:rsidP="004B1E97">
      <w:pPr>
        <w:spacing w:before="240"/>
        <w:ind w:right="120" w:firstLine="0"/>
        <w:jc w:val="both"/>
        <w:rPr>
          <w:rFonts w:ascii="Times New Roman" w:eastAsia="Times New Roman" w:hAnsi="Times New Roman" w:cs="Times New Roman"/>
          <w:sz w:val="24"/>
          <w:szCs w:val="24"/>
          <w:lang w:eastAsia="pt-BR"/>
        </w:rPr>
      </w:pPr>
      <w:bookmarkStart w:id="19" w:name="_Toc67064379"/>
      <w:r w:rsidRPr="00EA7538">
        <w:rPr>
          <w:rFonts w:ascii="Times New Roman" w:eastAsia="Times New Roman" w:hAnsi="Times New Roman" w:cs="Times New Roman"/>
          <w:b/>
          <w:bCs/>
          <w:color w:val="000000"/>
          <w:sz w:val="24"/>
          <w:szCs w:val="24"/>
          <w:lang w:eastAsia="pt-BR"/>
        </w:rPr>
        <w:t>APÊNDICE A – DETALHAMENTO DA METODOLOGIA EMPREGADA</w:t>
      </w:r>
      <w:bookmarkStart w:id="20" w:name="_Toc67067920"/>
      <w:bookmarkStart w:id="21" w:name="_Toc67066983"/>
      <w:bookmarkStart w:id="22" w:name="_Toc67064380"/>
      <w:bookmarkEnd w:id="19"/>
      <w:bookmarkEnd w:id="20"/>
      <w:bookmarkEnd w:id="21"/>
    </w:p>
    <w:p w14:paraId="266E8748" w14:textId="77777777" w:rsidR="00BB680C" w:rsidRDefault="00BB680C" w:rsidP="0059060B">
      <w:pPr>
        <w:ind w:right="119" w:firstLine="0"/>
        <w:jc w:val="both"/>
        <w:rPr>
          <w:rFonts w:ascii="Times New Roman" w:eastAsia="Times New Roman" w:hAnsi="Times New Roman" w:cs="Times New Roman"/>
          <w:b/>
          <w:bCs/>
          <w:color w:val="000000"/>
          <w:sz w:val="24"/>
          <w:szCs w:val="24"/>
          <w:lang w:eastAsia="pt-BR"/>
        </w:rPr>
      </w:pPr>
    </w:p>
    <w:p w14:paraId="7948A028" w14:textId="77777777" w:rsidR="001F2898" w:rsidRDefault="00A61C3A" w:rsidP="004B1E97">
      <w:pPr>
        <w:spacing w:before="240"/>
        <w:ind w:right="120" w:firstLine="0"/>
        <w:jc w:val="both"/>
        <w:rPr>
          <w:rFonts w:ascii="Times New Roman" w:eastAsia="Times New Roman" w:hAnsi="Times New Roman" w:cs="Times New Roman"/>
          <w:sz w:val="24"/>
          <w:szCs w:val="24"/>
          <w:lang w:eastAsia="pt-BR"/>
        </w:rPr>
      </w:pPr>
      <w:r w:rsidRPr="00EA7538">
        <w:rPr>
          <w:rFonts w:ascii="Times New Roman" w:eastAsia="Times New Roman" w:hAnsi="Times New Roman" w:cs="Times New Roman"/>
          <w:b/>
          <w:bCs/>
          <w:color w:val="000000"/>
          <w:sz w:val="24"/>
          <w:szCs w:val="24"/>
          <w:lang w:eastAsia="pt-BR"/>
        </w:rPr>
        <w:t>I - DETERMINAÇÃO DA MATERIALIDADE PARA O TRABALHO</w:t>
      </w:r>
      <w:bookmarkEnd w:id="22"/>
    </w:p>
    <w:p w14:paraId="723517EA" w14:textId="77777777" w:rsidR="001F2898" w:rsidRDefault="00A61C3A" w:rsidP="0059060B">
      <w:pPr>
        <w:spacing w:before="240"/>
        <w:ind w:right="120" w:firstLine="708"/>
        <w:jc w:val="both"/>
        <w:rPr>
          <w:rFonts w:ascii="Times New Roman" w:eastAsia="Times New Roman" w:hAnsi="Times New Roman" w:cs="Times New Roman"/>
          <w:sz w:val="24"/>
          <w:szCs w:val="24"/>
          <w:lang w:eastAsia="pt-BR"/>
        </w:rPr>
      </w:pPr>
      <w:r w:rsidRPr="00EA7538">
        <w:rPr>
          <w:rFonts w:ascii="Times New Roman" w:eastAsia="Times New Roman" w:hAnsi="Times New Roman" w:cs="Times New Roman"/>
          <w:color w:val="000000"/>
          <w:sz w:val="24"/>
          <w:szCs w:val="24"/>
          <w:lang w:eastAsia="pt-BR"/>
        </w:rPr>
        <w:t>A materialidade é um conceito utilizado pelo auditor para estabelecer o nível (ou os níveis) a partir do qual as distorções na informação ou as não conformidades do objeto de auditoria serão consideradas relevantes e, assim, tratadas para fins de planejar, executar e relatar a auditoria.</w:t>
      </w:r>
    </w:p>
    <w:p w14:paraId="79E34FBC" w14:textId="77777777" w:rsidR="001F2898" w:rsidRDefault="00A61C3A" w:rsidP="0059060B">
      <w:pPr>
        <w:spacing w:before="240"/>
        <w:ind w:right="120" w:firstLine="708"/>
        <w:jc w:val="both"/>
        <w:rPr>
          <w:rFonts w:ascii="Times New Roman" w:eastAsia="Times New Roman" w:hAnsi="Times New Roman" w:cs="Times New Roman"/>
          <w:sz w:val="24"/>
          <w:szCs w:val="24"/>
          <w:lang w:eastAsia="pt-BR"/>
        </w:rPr>
      </w:pPr>
      <w:r w:rsidRPr="00EA7538">
        <w:rPr>
          <w:rFonts w:ascii="Times New Roman" w:eastAsia="Times New Roman" w:hAnsi="Times New Roman" w:cs="Times New Roman"/>
          <w:color w:val="000000"/>
          <w:sz w:val="24"/>
          <w:szCs w:val="24"/>
          <w:lang w:eastAsia="pt-BR"/>
        </w:rPr>
        <w:t xml:space="preserve">O conceito é utilizado em todas as fases da auditoria: na </w:t>
      </w:r>
      <w:r w:rsidRPr="00EA7538">
        <w:rPr>
          <w:rFonts w:ascii="Times New Roman" w:eastAsia="Times New Roman" w:hAnsi="Times New Roman" w:cs="Times New Roman"/>
          <w:b/>
          <w:bCs/>
          <w:color w:val="000000"/>
          <w:sz w:val="24"/>
          <w:szCs w:val="24"/>
          <w:lang w:eastAsia="pt-BR"/>
        </w:rPr>
        <w:t>fase de planejamento</w:t>
      </w:r>
      <w:r w:rsidRPr="00EA7538">
        <w:rPr>
          <w:rFonts w:ascii="Times New Roman" w:eastAsia="Times New Roman" w:hAnsi="Times New Roman" w:cs="Times New Roman"/>
          <w:color w:val="000000"/>
          <w:sz w:val="24"/>
          <w:szCs w:val="24"/>
          <w:lang w:eastAsia="pt-BR"/>
        </w:rPr>
        <w:t xml:space="preserve">, para determinar o que é significativo para os procedimentos preliminares de avaliação de risco e para planejar os procedimentos de auditoria; na </w:t>
      </w:r>
      <w:r w:rsidRPr="00EA7538">
        <w:rPr>
          <w:rFonts w:ascii="Times New Roman" w:eastAsia="Times New Roman" w:hAnsi="Times New Roman" w:cs="Times New Roman"/>
          <w:b/>
          <w:bCs/>
          <w:color w:val="000000"/>
          <w:sz w:val="24"/>
          <w:szCs w:val="24"/>
          <w:lang w:eastAsia="pt-BR"/>
        </w:rPr>
        <w:t>fase de execução</w:t>
      </w:r>
      <w:r w:rsidRPr="00EA7538">
        <w:rPr>
          <w:rFonts w:ascii="Times New Roman" w:eastAsia="Times New Roman" w:hAnsi="Times New Roman" w:cs="Times New Roman"/>
          <w:color w:val="000000"/>
          <w:sz w:val="24"/>
          <w:szCs w:val="24"/>
          <w:lang w:eastAsia="pt-BR"/>
        </w:rPr>
        <w:t xml:space="preserve">, para avaliar o efeito dos achados identificados na auditoria; e na </w:t>
      </w:r>
      <w:r w:rsidRPr="00EA7538">
        <w:rPr>
          <w:rFonts w:ascii="Times New Roman" w:eastAsia="Times New Roman" w:hAnsi="Times New Roman" w:cs="Times New Roman"/>
          <w:b/>
          <w:bCs/>
          <w:color w:val="000000"/>
          <w:sz w:val="24"/>
          <w:szCs w:val="24"/>
          <w:lang w:eastAsia="pt-BR"/>
        </w:rPr>
        <w:t>fase de relatório</w:t>
      </w:r>
      <w:r w:rsidRPr="00EA7538">
        <w:rPr>
          <w:rFonts w:ascii="Times New Roman" w:eastAsia="Times New Roman" w:hAnsi="Times New Roman" w:cs="Times New Roman"/>
          <w:color w:val="000000"/>
          <w:sz w:val="24"/>
          <w:szCs w:val="24"/>
          <w:lang w:eastAsia="pt-BR"/>
        </w:rPr>
        <w:t xml:space="preserve">, para formar a conclusão ou opinião de auditoria com base na relevância dos achados, individualmente ou em conjunto, bem como para fundamentar as propostas de encaminhamento do relatório. </w:t>
      </w:r>
    </w:p>
    <w:p w14:paraId="620A7A60" w14:textId="47058CB1" w:rsidR="00434D35" w:rsidRPr="00434D35" w:rsidRDefault="00A61C3A" w:rsidP="00434D35">
      <w:pPr>
        <w:spacing w:before="240"/>
        <w:ind w:right="120" w:firstLine="708"/>
        <w:jc w:val="both"/>
        <w:rPr>
          <w:rFonts w:ascii="Times New Roman" w:eastAsia="Times New Roman" w:hAnsi="Times New Roman" w:cs="Times New Roman"/>
          <w:color w:val="000000"/>
          <w:sz w:val="24"/>
          <w:szCs w:val="24"/>
          <w:lang w:eastAsia="pt-BR"/>
        </w:rPr>
      </w:pPr>
      <w:r w:rsidRPr="00EA7538">
        <w:rPr>
          <w:rFonts w:ascii="Times New Roman" w:eastAsia="Times New Roman" w:hAnsi="Times New Roman" w:cs="Times New Roman"/>
          <w:color w:val="000000"/>
          <w:sz w:val="24"/>
          <w:szCs w:val="24"/>
          <w:lang w:eastAsia="pt-BR"/>
        </w:rPr>
        <w:t>Os julgamentos sobre materialidade são realizados com base nos critérios de magnitude das distorções e dos efeitos das não conformidades (</w:t>
      </w:r>
      <w:r w:rsidRPr="00EA7538">
        <w:rPr>
          <w:rFonts w:ascii="Times New Roman" w:eastAsia="Times New Roman" w:hAnsi="Times New Roman" w:cs="Times New Roman"/>
          <w:b/>
          <w:bCs/>
          <w:color w:val="000000"/>
          <w:sz w:val="24"/>
          <w:szCs w:val="24"/>
          <w:lang w:eastAsia="pt-BR"/>
        </w:rPr>
        <w:t>materialidade quantitativa</w:t>
      </w:r>
      <w:r w:rsidRPr="00EA7538">
        <w:rPr>
          <w:rFonts w:ascii="Times New Roman" w:eastAsia="Times New Roman" w:hAnsi="Times New Roman" w:cs="Times New Roman"/>
          <w:color w:val="000000"/>
          <w:sz w:val="24"/>
          <w:szCs w:val="24"/>
          <w:lang w:eastAsia="pt-BR"/>
        </w:rPr>
        <w:t>), e da natureza e circunstâncias da sua ocorrência (</w:t>
      </w:r>
      <w:r w:rsidRPr="00EA7538">
        <w:rPr>
          <w:rFonts w:ascii="Times New Roman" w:eastAsia="Times New Roman" w:hAnsi="Times New Roman" w:cs="Times New Roman"/>
          <w:b/>
          <w:bCs/>
          <w:color w:val="000000"/>
          <w:sz w:val="24"/>
          <w:szCs w:val="24"/>
          <w:lang w:eastAsia="pt-BR"/>
        </w:rPr>
        <w:t>materialidade qualitativa</w:t>
      </w:r>
      <w:r w:rsidRPr="00EA7538">
        <w:rPr>
          <w:rFonts w:ascii="Times New Roman" w:eastAsia="Times New Roman" w:hAnsi="Times New Roman" w:cs="Times New Roman"/>
          <w:color w:val="000000"/>
          <w:sz w:val="24"/>
          <w:szCs w:val="24"/>
          <w:lang w:eastAsia="pt-BR"/>
        </w:rPr>
        <w:t>).</w:t>
      </w:r>
    </w:p>
    <w:p w14:paraId="0A1012C5" w14:textId="77777777" w:rsidR="001F2898" w:rsidRDefault="00A61C3A" w:rsidP="004B1E97">
      <w:pPr>
        <w:spacing w:before="240"/>
        <w:ind w:right="120" w:firstLine="0"/>
        <w:jc w:val="both"/>
        <w:rPr>
          <w:rFonts w:ascii="Times New Roman" w:eastAsia="Times New Roman" w:hAnsi="Times New Roman" w:cs="Times New Roman"/>
          <w:sz w:val="24"/>
          <w:szCs w:val="24"/>
          <w:lang w:eastAsia="pt-BR"/>
        </w:rPr>
      </w:pPr>
      <w:r w:rsidRPr="00EA7538">
        <w:rPr>
          <w:rFonts w:ascii="Times New Roman" w:eastAsia="Times New Roman" w:hAnsi="Times New Roman" w:cs="Times New Roman"/>
          <w:b/>
          <w:bCs/>
          <w:color w:val="000000"/>
          <w:sz w:val="24"/>
          <w:szCs w:val="24"/>
          <w:lang w:eastAsia="pt-BR"/>
        </w:rPr>
        <w:t>a) Materialidade quantitativa</w:t>
      </w:r>
    </w:p>
    <w:p w14:paraId="25ACC55E" w14:textId="77777777" w:rsidR="001F2898" w:rsidRDefault="00A61C3A" w:rsidP="0059060B">
      <w:pPr>
        <w:spacing w:before="240"/>
        <w:ind w:right="120" w:firstLine="708"/>
        <w:jc w:val="both"/>
        <w:rPr>
          <w:rFonts w:ascii="Times New Roman" w:eastAsia="Times New Roman" w:hAnsi="Times New Roman" w:cs="Times New Roman"/>
          <w:sz w:val="24"/>
          <w:szCs w:val="24"/>
          <w:lang w:eastAsia="pt-BR"/>
        </w:rPr>
      </w:pPr>
      <w:bookmarkStart w:id="23" w:name="_Toc67067921"/>
      <w:bookmarkStart w:id="24" w:name="_Toc67066984"/>
      <w:bookmarkStart w:id="25" w:name="_Toc67064381"/>
      <w:bookmarkEnd w:id="23"/>
      <w:bookmarkEnd w:id="24"/>
      <w:bookmarkEnd w:id="25"/>
      <w:r w:rsidRPr="00EA7538">
        <w:rPr>
          <w:rFonts w:ascii="Times New Roman" w:eastAsia="Times New Roman" w:hAnsi="Times New Roman" w:cs="Times New Roman"/>
          <w:color w:val="000000"/>
          <w:sz w:val="24"/>
          <w:szCs w:val="24"/>
          <w:lang w:eastAsia="pt-BR"/>
        </w:rPr>
        <w:t>De acordo com o Manual de Auditoria Financeira do TCU, item 226, e a ISA</w:t>
      </w:r>
      <w:r w:rsidR="006E55C8" w:rsidRPr="006E55C8">
        <w:rPr>
          <w:rFonts w:ascii="Times New Roman" w:hAnsi="Times New Roman" w:cs="Times New Roman"/>
          <w:color w:val="000000"/>
          <w:sz w:val="24"/>
          <w:szCs w:val="24"/>
        </w:rPr>
        <w:t>/</w:t>
      </w:r>
      <w:hyperlink r:id="rId56" w:tgtFrame="_blank" w:history="1">
        <w:r w:rsidR="006E55C8" w:rsidRPr="006E55C8">
          <w:rPr>
            <w:rStyle w:val="Hyperlink"/>
            <w:rFonts w:ascii="Times New Roman" w:hAnsi="Times New Roman" w:cs="Times New Roman"/>
            <w:sz w:val="24"/>
            <w:szCs w:val="24"/>
          </w:rPr>
          <w:t>NBC TA 320</w:t>
        </w:r>
      </w:hyperlink>
      <w:r w:rsidRPr="006E55C8">
        <w:rPr>
          <w:rFonts w:ascii="Times New Roman" w:eastAsia="Times New Roman" w:hAnsi="Times New Roman" w:cs="Times New Roman"/>
          <w:color w:val="000000"/>
          <w:sz w:val="24"/>
          <w:szCs w:val="24"/>
          <w:lang w:eastAsia="pt-BR"/>
        </w:rPr>
        <w:t>, ISSAI 2320, ao estabelecer a estratégia global de auditoria, o auditor deve determinar</w:t>
      </w:r>
      <w:r w:rsidRPr="00EA7538">
        <w:rPr>
          <w:rFonts w:ascii="Times New Roman" w:eastAsia="Times New Roman" w:hAnsi="Times New Roman" w:cs="Times New Roman"/>
          <w:color w:val="000000"/>
          <w:sz w:val="24"/>
          <w:szCs w:val="24"/>
          <w:lang w:eastAsia="pt-BR"/>
        </w:rPr>
        <w:t xml:space="preserve"> a </w:t>
      </w:r>
      <w:r w:rsidRPr="00EA7538">
        <w:rPr>
          <w:rFonts w:ascii="Times New Roman" w:eastAsia="Times New Roman" w:hAnsi="Times New Roman" w:cs="Times New Roman"/>
          <w:color w:val="000000"/>
          <w:sz w:val="24"/>
          <w:szCs w:val="24"/>
          <w:lang w:eastAsia="pt-BR"/>
        </w:rPr>
        <w:lastRenderedPageBreak/>
        <w:t>materialidade para as demonstrações contábeis como um todo (materialidade global ou materialidade no planejamento)</w:t>
      </w:r>
      <w:r w:rsidR="003953CF">
        <w:rPr>
          <w:rFonts w:ascii="Times New Roman" w:eastAsia="Times New Roman" w:hAnsi="Times New Roman" w:cs="Times New Roman"/>
          <w:color w:val="000000"/>
          <w:sz w:val="24"/>
          <w:szCs w:val="24"/>
          <w:lang w:eastAsia="pt-BR"/>
        </w:rPr>
        <w:t xml:space="preserve"> e</w:t>
      </w:r>
      <w:r w:rsidRPr="00EA7538">
        <w:rPr>
          <w:rFonts w:ascii="Times New Roman" w:eastAsia="Times New Roman" w:hAnsi="Times New Roman" w:cs="Times New Roman"/>
          <w:color w:val="000000"/>
          <w:sz w:val="24"/>
          <w:szCs w:val="24"/>
          <w:lang w:eastAsia="pt-BR"/>
        </w:rPr>
        <w:t xml:space="preserve"> a materialidade para execução da auditoria</w:t>
      </w:r>
      <w:r w:rsidR="00A7325D">
        <w:rPr>
          <w:rFonts w:ascii="Times New Roman" w:eastAsia="Times New Roman" w:hAnsi="Times New Roman" w:cs="Times New Roman"/>
          <w:color w:val="000000"/>
          <w:sz w:val="24"/>
          <w:szCs w:val="24"/>
          <w:lang w:eastAsia="pt-BR"/>
        </w:rPr>
        <w:t>, bem como</w:t>
      </w:r>
      <w:r w:rsidRPr="00EA7538">
        <w:rPr>
          <w:rFonts w:ascii="Times New Roman" w:eastAsia="Times New Roman" w:hAnsi="Times New Roman" w:cs="Times New Roman"/>
          <w:color w:val="000000"/>
          <w:sz w:val="24"/>
          <w:szCs w:val="24"/>
          <w:lang w:eastAsia="pt-BR"/>
        </w:rPr>
        <w:t xml:space="preserve"> estabelecer o limite para acumulação de distorções, de modo a permitir a avaliação dos riscos de distorções relevantes e a determinação da natureza, época e extensão (tamanho das amostras) dos procedimentos adicionais de auditoria. </w:t>
      </w:r>
    </w:p>
    <w:p w14:paraId="701C6AA8" w14:textId="77777777" w:rsidR="001F2898" w:rsidRDefault="00A61C3A" w:rsidP="0059060B">
      <w:pPr>
        <w:spacing w:before="240"/>
        <w:ind w:right="120" w:firstLine="708"/>
        <w:jc w:val="both"/>
        <w:rPr>
          <w:rFonts w:ascii="Times New Roman" w:eastAsia="Times New Roman" w:hAnsi="Times New Roman" w:cs="Times New Roman"/>
          <w:sz w:val="24"/>
          <w:szCs w:val="24"/>
          <w:lang w:eastAsia="pt-BR"/>
        </w:rPr>
      </w:pPr>
      <w:r w:rsidRPr="00EA7538">
        <w:rPr>
          <w:rFonts w:ascii="Times New Roman" w:eastAsia="Times New Roman" w:hAnsi="Times New Roman" w:cs="Times New Roman"/>
          <w:color w:val="000000"/>
          <w:sz w:val="24"/>
          <w:szCs w:val="24"/>
          <w:lang w:eastAsia="pt-BR"/>
        </w:rPr>
        <w:t>A materialidade, no aspecto quantitativo, geralmente é definida mediante a aplicação de um percentual sobre determinado valor de referência que reflete razoavelmente o nível de atividade financeira do objeto da auditoria, como o total das despesas, das receitas, do ativo, do passivo, do lucro etc.</w:t>
      </w:r>
    </w:p>
    <w:p w14:paraId="0D34A220" w14:textId="77777777" w:rsidR="001F2898" w:rsidRDefault="00A61C3A" w:rsidP="0059060B">
      <w:pPr>
        <w:spacing w:before="240"/>
        <w:ind w:right="120" w:firstLine="708"/>
        <w:jc w:val="both"/>
        <w:rPr>
          <w:rFonts w:ascii="Times New Roman" w:eastAsia="Times New Roman" w:hAnsi="Times New Roman" w:cs="Times New Roman"/>
          <w:sz w:val="24"/>
          <w:szCs w:val="24"/>
          <w:lang w:eastAsia="pt-BR"/>
        </w:rPr>
      </w:pPr>
      <w:r w:rsidRPr="00EA7538">
        <w:rPr>
          <w:rFonts w:ascii="Times New Roman" w:eastAsia="Times New Roman" w:hAnsi="Times New Roman" w:cs="Times New Roman"/>
          <w:color w:val="000000"/>
          <w:sz w:val="24"/>
          <w:szCs w:val="24"/>
          <w:lang w:eastAsia="pt-BR"/>
        </w:rPr>
        <w:t>O Tribunal de Contas Europeu – ECA (na sigla em inglês) estabelece que a materialidade para o trabalho como um todo deve se situar entre 0,5% e 2% do valor de referência. O Instituto dos Auditores Independentes Certificados dos Estados Unidos - AICPA (na sigla em inglês) considera o total das despesas (p.ex.: dotação autorizada, despesa empenhada) como o referencial provavelmente mais apropriado para as auditorias das entidades do setor público (</w:t>
      </w:r>
      <w:proofErr w:type="spellStart"/>
      <w:r w:rsidRPr="00EA7538">
        <w:rPr>
          <w:rFonts w:ascii="Times New Roman" w:eastAsia="Times New Roman" w:hAnsi="Times New Roman" w:cs="Times New Roman"/>
          <w:i/>
          <w:iCs/>
          <w:color w:val="000000"/>
          <w:sz w:val="24"/>
          <w:szCs w:val="24"/>
          <w:lang w:eastAsia="pt-BR"/>
        </w:rPr>
        <w:t>AuditGuide</w:t>
      </w:r>
      <w:proofErr w:type="spellEnd"/>
      <w:r w:rsidRPr="00EA7538">
        <w:rPr>
          <w:rFonts w:ascii="Times New Roman" w:eastAsia="Times New Roman" w:hAnsi="Times New Roman" w:cs="Times New Roman"/>
          <w:color w:val="000000"/>
          <w:sz w:val="24"/>
          <w:szCs w:val="24"/>
          <w:lang w:eastAsia="pt-BR"/>
        </w:rPr>
        <w:t>, 2014, p. 404). Já a Federação Internacional de Contadores – IFAC (na sigla em inglês) orienta que se o lucro não é uma medida útil (como no caso das entidades sem fins lucrativos e da maioria das entidades do setor público), o auditor pode considerar outras bases como: de 1% a 3% das receitas ou despesas; de 1% a 3% dos ativos; ou de 3% a 5% do patrimônio líquido.</w:t>
      </w:r>
    </w:p>
    <w:p w14:paraId="373C591A" w14:textId="77777777" w:rsidR="001F2898" w:rsidRDefault="00A61C3A" w:rsidP="0059060B">
      <w:pPr>
        <w:spacing w:before="240"/>
        <w:ind w:right="120" w:firstLine="708"/>
        <w:jc w:val="both"/>
        <w:rPr>
          <w:rFonts w:ascii="Times New Roman" w:eastAsia="Times New Roman" w:hAnsi="Times New Roman" w:cs="Times New Roman"/>
          <w:color w:val="000000"/>
          <w:sz w:val="24"/>
          <w:szCs w:val="24"/>
          <w:lang w:eastAsia="pt-BR"/>
        </w:rPr>
      </w:pPr>
      <w:r w:rsidRPr="00EA7538">
        <w:rPr>
          <w:rFonts w:ascii="Times New Roman" w:eastAsia="Times New Roman" w:hAnsi="Times New Roman" w:cs="Times New Roman"/>
          <w:color w:val="000000"/>
          <w:sz w:val="24"/>
          <w:szCs w:val="24"/>
          <w:lang w:eastAsia="pt-BR"/>
        </w:rPr>
        <w:t>Duas pesquisas internacionais recentes, realizadas no âmbito das especializações em auditoria financeira do TCU, corroboraram que o intervalo situado entre 0,5% a 2% do valor de referência é o mais utilizado pela maioria das Entidades Fiscalizadoras Superiores - EFS (o somatório do % das EFS que adotam ultrapassa 100% pelo fato de que cada EFS pode adotar mais de um referencial).</w:t>
      </w:r>
    </w:p>
    <w:p w14:paraId="21330C1F" w14:textId="77777777" w:rsidR="0059060B" w:rsidRDefault="0059060B" w:rsidP="0059060B">
      <w:pPr>
        <w:ind w:right="119"/>
        <w:jc w:val="both"/>
        <w:rPr>
          <w:rFonts w:ascii="Times New Roman" w:eastAsia="Times New Roman" w:hAnsi="Times New Roman" w:cs="Times New Roman"/>
          <w:sz w:val="24"/>
          <w:szCs w:val="24"/>
          <w:lang w:eastAsia="pt-BR"/>
        </w:rPr>
      </w:pPr>
    </w:p>
    <w:p w14:paraId="3E64B44A" w14:textId="6017C4C0" w:rsidR="00A61C3A" w:rsidRDefault="00321167" w:rsidP="0059060B">
      <w:pPr>
        <w:ind w:right="119" w:firstLine="0"/>
        <w:jc w:val="center"/>
        <w:rPr>
          <w:rFonts w:ascii="Times New Roman" w:eastAsia="Times New Roman" w:hAnsi="Times New Roman" w:cs="Times New Roman"/>
          <w:b/>
          <w:bCs/>
          <w:color w:val="000000"/>
          <w:lang w:eastAsia="pt-BR"/>
        </w:rPr>
      </w:pPr>
      <w:bookmarkStart w:id="26" w:name="_Toc67063994"/>
      <w:r>
        <w:rPr>
          <w:rFonts w:ascii="Times New Roman" w:eastAsia="Times New Roman" w:hAnsi="Times New Roman" w:cs="Times New Roman"/>
          <w:b/>
          <w:bCs/>
          <w:color w:val="000000"/>
          <w:lang w:eastAsia="pt-BR"/>
        </w:rPr>
        <w:t xml:space="preserve">Tabela </w:t>
      </w:r>
      <w:r w:rsidR="00364A8D">
        <w:rPr>
          <w:rFonts w:ascii="Times New Roman" w:eastAsia="Times New Roman" w:hAnsi="Times New Roman" w:cs="Times New Roman"/>
          <w:b/>
          <w:bCs/>
          <w:color w:val="000000"/>
          <w:lang w:eastAsia="pt-BR"/>
        </w:rPr>
        <w:t>3</w:t>
      </w:r>
      <w:r w:rsidR="00A61C3A" w:rsidRPr="00E858BB">
        <w:rPr>
          <w:rFonts w:ascii="Times New Roman" w:eastAsia="Times New Roman" w:hAnsi="Times New Roman" w:cs="Times New Roman"/>
          <w:b/>
          <w:bCs/>
          <w:color w:val="000000"/>
          <w:lang w:eastAsia="pt-BR"/>
        </w:rPr>
        <w:t xml:space="preserve"> – Referências e percentuais adotados pelas EFS</w:t>
      </w:r>
      <w:bookmarkEnd w:id="26"/>
    </w:p>
    <w:tbl>
      <w:tblPr>
        <w:tblStyle w:val="Tabelacomgrade"/>
        <w:tblW w:w="0" w:type="auto"/>
        <w:tblInd w:w="279" w:type="dxa"/>
        <w:tblLook w:val="04A0" w:firstRow="1" w:lastRow="0" w:firstColumn="1" w:lastColumn="0" w:noHBand="0" w:noVBand="1"/>
      </w:tblPr>
      <w:tblGrid>
        <w:gridCol w:w="2551"/>
        <w:gridCol w:w="2127"/>
        <w:gridCol w:w="2409"/>
        <w:gridCol w:w="1560"/>
      </w:tblGrid>
      <w:tr w:rsidR="00B96B97" w:rsidRPr="00B96B97" w14:paraId="3F435ED0" w14:textId="77777777" w:rsidTr="004A0698">
        <w:tc>
          <w:tcPr>
            <w:tcW w:w="2551" w:type="dxa"/>
            <w:shd w:val="clear" w:color="auto" w:fill="D9D9D9" w:themeFill="background1" w:themeFillShade="D9"/>
            <w:vAlign w:val="center"/>
          </w:tcPr>
          <w:p w14:paraId="0DFD7271" w14:textId="02735E70" w:rsidR="00B96B97" w:rsidRPr="00B96B97" w:rsidRDefault="00B96B97" w:rsidP="00B96B97">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b/>
                <w:bCs/>
                <w:sz w:val="20"/>
                <w:szCs w:val="20"/>
                <w:lang w:eastAsia="pt-BR"/>
              </w:rPr>
              <w:t>Referencial adotado</w:t>
            </w:r>
          </w:p>
        </w:tc>
        <w:tc>
          <w:tcPr>
            <w:tcW w:w="2127" w:type="dxa"/>
            <w:shd w:val="clear" w:color="auto" w:fill="D9D9D9" w:themeFill="background1" w:themeFillShade="D9"/>
            <w:vAlign w:val="center"/>
          </w:tcPr>
          <w:p w14:paraId="4F1C112C" w14:textId="41EE384F" w:rsidR="00B96B97" w:rsidRPr="00B96B97" w:rsidRDefault="00B96B97" w:rsidP="00B96B97">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b/>
                <w:bCs/>
                <w:sz w:val="20"/>
                <w:szCs w:val="20"/>
                <w:lang w:eastAsia="pt-BR"/>
              </w:rPr>
              <w:t>% EFS que adotam o referencial</w:t>
            </w:r>
          </w:p>
        </w:tc>
        <w:tc>
          <w:tcPr>
            <w:tcW w:w="2409" w:type="dxa"/>
            <w:shd w:val="clear" w:color="auto" w:fill="D9D9D9" w:themeFill="background1" w:themeFillShade="D9"/>
            <w:vAlign w:val="center"/>
          </w:tcPr>
          <w:p w14:paraId="02CBA0B3" w14:textId="278E65E0" w:rsidR="00B96B97" w:rsidRPr="00B96B97" w:rsidRDefault="00B96B97" w:rsidP="00B96B97">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b/>
                <w:bCs/>
                <w:sz w:val="20"/>
                <w:szCs w:val="20"/>
                <w:lang w:eastAsia="pt-BR"/>
              </w:rPr>
              <w:t>Intervalo aplicado sobre o referencial</w:t>
            </w:r>
          </w:p>
        </w:tc>
        <w:tc>
          <w:tcPr>
            <w:tcW w:w="1560" w:type="dxa"/>
            <w:shd w:val="clear" w:color="auto" w:fill="D9D9D9" w:themeFill="background1" w:themeFillShade="D9"/>
            <w:vAlign w:val="center"/>
          </w:tcPr>
          <w:p w14:paraId="58E0B317" w14:textId="7FC2FCA5" w:rsidR="00B96B97" w:rsidRPr="00B96B97" w:rsidRDefault="00B96B97" w:rsidP="00B96B97">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b/>
                <w:bCs/>
                <w:sz w:val="20"/>
                <w:szCs w:val="20"/>
                <w:lang w:eastAsia="pt-BR"/>
              </w:rPr>
              <w:t>% de EFS que adotam</w:t>
            </w:r>
          </w:p>
        </w:tc>
      </w:tr>
      <w:tr w:rsidR="00B96B97" w:rsidRPr="00B96B97" w14:paraId="66917B12" w14:textId="77777777" w:rsidTr="004A0698">
        <w:tc>
          <w:tcPr>
            <w:tcW w:w="2551" w:type="dxa"/>
          </w:tcPr>
          <w:p w14:paraId="169919CC" w14:textId="306E1A3D"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Despesa total</w:t>
            </w:r>
          </w:p>
        </w:tc>
        <w:tc>
          <w:tcPr>
            <w:tcW w:w="2127" w:type="dxa"/>
          </w:tcPr>
          <w:p w14:paraId="0A7F5E7C" w14:textId="0D85215F"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96%</w:t>
            </w:r>
          </w:p>
        </w:tc>
        <w:tc>
          <w:tcPr>
            <w:tcW w:w="2409" w:type="dxa"/>
          </w:tcPr>
          <w:p w14:paraId="53587770" w14:textId="7965D5AA"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0,5% - 2%</w:t>
            </w:r>
          </w:p>
        </w:tc>
        <w:tc>
          <w:tcPr>
            <w:tcW w:w="1560" w:type="dxa"/>
          </w:tcPr>
          <w:p w14:paraId="03EAECF7" w14:textId="5521C198"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40%</w:t>
            </w:r>
          </w:p>
        </w:tc>
      </w:tr>
      <w:tr w:rsidR="00B96B97" w:rsidRPr="00B96B97" w14:paraId="7425ADE5" w14:textId="77777777" w:rsidTr="004A0698">
        <w:tc>
          <w:tcPr>
            <w:tcW w:w="2551" w:type="dxa"/>
            <w:vMerge w:val="restart"/>
            <w:vAlign w:val="center"/>
          </w:tcPr>
          <w:p w14:paraId="762B5C58" w14:textId="1D927492" w:rsidR="00B96B97" w:rsidRPr="00B96B97" w:rsidRDefault="00B96B97" w:rsidP="00B96B97">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Ativo total</w:t>
            </w:r>
          </w:p>
        </w:tc>
        <w:tc>
          <w:tcPr>
            <w:tcW w:w="2127" w:type="dxa"/>
            <w:vMerge w:val="restart"/>
            <w:vAlign w:val="center"/>
          </w:tcPr>
          <w:p w14:paraId="78829101" w14:textId="65D5E5F9" w:rsidR="00B96B97" w:rsidRPr="00B96B97" w:rsidRDefault="00B96B97" w:rsidP="00B96B97">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77%</w:t>
            </w:r>
          </w:p>
        </w:tc>
        <w:tc>
          <w:tcPr>
            <w:tcW w:w="2409" w:type="dxa"/>
          </w:tcPr>
          <w:p w14:paraId="4401C913" w14:textId="3ADFEA0E"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0,5% - 2%</w:t>
            </w:r>
          </w:p>
        </w:tc>
        <w:tc>
          <w:tcPr>
            <w:tcW w:w="1560" w:type="dxa"/>
          </w:tcPr>
          <w:p w14:paraId="138BC588" w14:textId="16ACE02A"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21%</w:t>
            </w:r>
          </w:p>
        </w:tc>
      </w:tr>
      <w:tr w:rsidR="00B96B97" w:rsidRPr="00B96B97" w14:paraId="71AEC66C" w14:textId="77777777" w:rsidTr="004A0698">
        <w:tc>
          <w:tcPr>
            <w:tcW w:w="2551" w:type="dxa"/>
            <w:vMerge/>
          </w:tcPr>
          <w:p w14:paraId="648D32EF" w14:textId="77777777"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p>
        </w:tc>
        <w:tc>
          <w:tcPr>
            <w:tcW w:w="2127" w:type="dxa"/>
            <w:vMerge/>
          </w:tcPr>
          <w:p w14:paraId="17E7E7B3" w14:textId="77777777"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p>
        </w:tc>
        <w:tc>
          <w:tcPr>
            <w:tcW w:w="2409" w:type="dxa"/>
          </w:tcPr>
          <w:p w14:paraId="36B06E95" w14:textId="6CB469C4"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1%</w:t>
            </w:r>
          </w:p>
        </w:tc>
        <w:tc>
          <w:tcPr>
            <w:tcW w:w="1560" w:type="dxa"/>
          </w:tcPr>
          <w:p w14:paraId="298F1895" w14:textId="0124FA77"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21%</w:t>
            </w:r>
          </w:p>
        </w:tc>
      </w:tr>
      <w:tr w:rsidR="00B96B97" w:rsidRPr="00B96B97" w14:paraId="46D94444" w14:textId="77777777" w:rsidTr="004A0698">
        <w:tc>
          <w:tcPr>
            <w:tcW w:w="2551" w:type="dxa"/>
          </w:tcPr>
          <w:p w14:paraId="58FF0336" w14:textId="69CE14FA"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Passivo Total</w:t>
            </w:r>
          </w:p>
        </w:tc>
        <w:tc>
          <w:tcPr>
            <w:tcW w:w="2127" w:type="dxa"/>
          </w:tcPr>
          <w:p w14:paraId="4A2B10B3" w14:textId="42ED4CD7"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36%</w:t>
            </w:r>
          </w:p>
        </w:tc>
        <w:tc>
          <w:tcPr>
            <w:tcW w:w="2409" w:type="dxa"/>
          </w:tcPr>
          <w:p w14:paraId="712C73F2" w14:textId="08F49905"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0,5% - 2%</w:t>
            </w:r>
          </w:p>
        </w:tc>
        <w:tc>
          <w:tcPr>
            <w:tcW w:w="1560" w:type="dxa"/>
          </w:tcPr>
          <w:p w14:paraId="516911B6" w14:textId="1E7F9431"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60%</w:t>
            </w:r>
          </w:p>
        </w:tc>
      </w:tr>
      <w:tr w:rsidR="00B96B97" w:rsidRPr="00B96B97" w14:paraId="3E3BCEAD" w14:textId="77777777" w:rsidTr="004A0698">
        <w:tc>
          <w:tcPr>
            <w:tcW w:w="2551" w:type="dxa"/>
          </w:tcPr>
          <w:p w14:paraId="181CB3AE" w14:textId="171F4498"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Receita total</w:t>
            </w:r>
          </w:p>
        </w:tc>
        <w:tc>
          <w:tcPr>
            <w:tcW w:w="2127" w:type="dxa"/>
          </w:tcPr>
          <w:p w14:paraId="2025DEEC" w14:textId="32F3C21A"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77%</w:t>
            </w:r>
          </w:p>
        </w:tc>
        <w:tc>
          <w:tcPr>
            <w:tcW w:w="2409" w:type="dxa"/>
          </w:tcPr>
          <w:p w14:paraId="67E5CCDD" w14:textId="56134E16"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0,5% - 2%</w:t>
            </w:r>
          </w:p>
        </w:tc>
        <w:tc>
          <w:tcPr>
            <w:tcW w:w="1560" w:type="dxa"/>
          </w:tcPr>
          <w:p w14:paraId="75F11EE9" w14:textId="43819260" w:rsidR="00B96B97" w:rsidRPr="00B96B97" w:rsidRDefault="00B96B97" w:rsidP="0059060B">
            <w:pPr>
              <w:ind w:right="119" w:firstLine="0"/>
              <w:jc w:val="center"/>
              <w:rPr>
                <w:rFonts w:ascii="Times New Roman" w:eastAsia="Times New Roman" w:hAnsi="Times New Roman" w:cs="Times New Roman"/>
                <w:color w:val="000000"/>
                <w:sz w:val="20"/>
                <w:szCs w:val="20"/>
                <w:lang w:eastAsia="pt-BR"/>
              </w:rPr>
            </w:pPr>
            <w:r w:rsidRPr="00B96B97">
              <w:rPr>
                <w:rFonts w:ascii="Times New Roman" w:eastAsia="Times New Roman" w:hAnsi="Times New Roman" w:cs="Times New Roman"/>
                <w:color w:val="000000"/>
                <w:sz w:val="20"/>
                <w:szCs w:val="20"/>
                <w:lang w:eastAsia="pt-BR"/>
              </w:rPr>
              <w:t>43%</w:t>
            </w:r>
          </w:p>
        </w:tc>
      </w:tr>
    </w:tbl>
    <w:p w14:paraId="035D3D0C" w14:textId="4259A720" w:rsidR="001F2898" w:rsidRDefault="004A0698" w:rsidP="004A0698">
      <w:pPr>
        <w:ind w:right="12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lang w:eastAsia="pt-BR"/>
        </w:rPr>
        <w:t xml:space="preserve">      </w:t>
      </w:r>
      <w:r w:rsidR="00A61C3A" w:rsidRPr="004A2EC9">
        <w:rPr>
          <w:rFonts w:ascii="Times New Roman" w:eastAsia="Times New Roman" w:hAnsi="Times New Roman" w:cs="Times New Roman"/>
          <w:color w:val="000000"/>
          <w:sz w:val="20"/>
          <w:szCs w:val="20"/>
          <w:lang w:eastAsia="pt-BR"/>
        </w:rPr>
        <w:t>Fonte: Adaptado de Melo, 2019. TCC Materialidade em auditoria financeira no setor público.</w:t>
      </w:r>
    </w:p>
    <w:p w14:paraId="2AFBB2CD" w14:textId="77777777" w:rsidR="001F2898" w:rsidRDefault="001F2898" w:rsidP="0059060B">
      <w:pPr>
        <w:ind w:right="120" w:firstLine="0"/>
        <w:jc w:val="both"/>
        <w:rPr>
          <w:rFonts w:ascii="Times New Roman" w:eastAsia="Times New Roman" w:hAnsi="Times New Roman" w:cs="Times New Roman"/>
          <w:sz w:val="20"/>
          <w:szCs w:val="20"/>
          <w:lang w:eastAsia="pt-BR"/>
        </w:rPr>
      </w:pPr>
    </w:p>
    <w:p w14:paraId="21C81F42" w14:textId="77777777" w:rsidR="006D7A68" w:rsidRDefault="00A61C3A" w:rsidP="0059060B">
      <w:pPr>
        <w:spacing w:before="240"/>
        <w:ind w:right="120" w:firstLine="708"/>
        <w:jc w:val="both"/>
        <w:rPr>
          <w:rFonts w:ascii="Times New Roman" w:eastAsia="Times New Roman" w:hAnsi="Times New Roman" w:cs="Times New Roman"/>
          <w:color w:val="000000"/>
          <w:sz w:val="24"/>
          <w:szCs w:val="24"/>
          <w:lang w:eastAsia="pt-BR"/>
        </w:rPr>
      </w:pPr>
      <w:r w:rsidRPr="008341D8">
        <w:rPr>
          <w:rFonts w:ascii="Times New Roman" w:eastAsia="Times New Roman" w:hAnsi="Times New Roman" w:cs="Times New Roman"/>
          <w:color w:val="000000"/>
          <w:sz w:val="24"/>
          <w:szCs w:val="24"/>
          <w:lang w:eastAsia="pt-BR"/>
        </w:rPr>
        <w:t xml:space="preserve">Assim, a escolha do valor de referência nesta auditoria recaiu sobre a </w:t>
      </w:r>
      <w:r w:rsidRPr="008341D8">
        <w:rPr>
          <w:rFonts w:ascii="Times New Roman" w:eastAsia="Times New Roman" w:hAnsi="Times New Roman" w:cs="Times New Roman"/>
          <w:b/>
          <w:bCs/>
          <w:color w:val="000000"/>
          <w:sz w:val="24"/>
          <w:szCs w:val="24"/>
          <w:lang w:eastAsia="pt-BR"/>
        </w:rPr>
        <w:t xml:space="preserve">despesa empenhada </w:t>
      </w:r>
      <w:r w:rsidRPr="008341D8">
        <w:rPr>
          <w:rFonts w:ascii="Times New Roman" w:eastAsia="Times New Roman" w:hAnsi="Times New Roman" w:cs="Times New Roman"/>
          <w:color w:val="000000"/>
          <w:sz w:val="24"/>
          <w:szCs w:val="24"/>
          <w:lang w:eastAsia="pt-BR"/>
        </w:rPr>
        <w:t>constante do Balanço Orçamentário</w:t>
      </w:r>
      <w:r w:rsidR="007E2211">
        <w:rPr>
          <w:rFonts w:ascii="Times New Roman" w:eastAsia="Times New Roman" w:hAnsi="Times New Roman" w:cs="Times New Roman"/>
          <w:color w:val="000000"/>
          <w:sz w:val="24"/>
          <w:szCs w:val="24"/>
          <w:lang w:eastAsia="pt-BR"/>
        </w:rPr>
        <w:t xml:space="preserve"> consolidado do TRF6</w:t>
      </w:r>
      <w:r w:rsidR="00B91CD0">
        <w:rPr>
          <w:rFonts w:ascii="Times New Roman" w:eastAsia="Times New Roman" w:hAnsi="Times New Roman" w:cs="Times New Roman"/>
          <w:color w:val="000000"/>
          <w:sz w:val="24"/>
          <w:szCs w:val="24"/>
          <w:lang w:eastAsia="pt-BR"/>
        </w:rPr>
        <w:t>, extraído do SIAFI</w:t>
      </w:r>
      <w:r w:rsidRPr="008341D8">
        <w:rPr>
          <w:rFonts w:ascii="Times New Roman" w:eastAsia="Times New Roman" w:hAnsi="Times New Roman" w:cs="Times New Roman"/>
          <w:color w:val="000000"/>
          <w:sz w:val="24"/>
          <w:szCs w:val="24"/>
          <w:lang w:eastAsia="pt-BR"/>
        </w:rPr>
        <w:t xml:space="preserve"> Web do mês de julho/</w:t>
      </w:r>
      <w:r w:rsidRPr="002F6FC9">
        <w:rPr>
          <w:rFonts w:ascii="Times New Roman" w:eastAsia="Times New Roman" w:hAnsi="Times New Roman" w:cs="Times New Roman"/>
          <w:color w:val="000000"/>
          <w:sz w:val="24"/>
          <w:szCs w:val="24"/>
          <w:lang w:eastAsia="pt-BR"/>
        </w:rPr>
        <w:t>202</w:t>
      </w:r>
      <w:r w:rsidR="00EA5979">
        <w:rPr>
          <w:rFonts w:ascii="Times New Roman" w:eastAsia="Times New Roman" w:hAnsi="Times New Roman" w:cs="Times New Roman"/>
          <w:color w:val="000000"/>
          <w:sz w:val="24"/>
          <w:szCs w:val="24"/>
          <w:lang w:eastAsia="pt-BR"/>
        </w:rPr>
        <w:t>5</w:t>
      </w:r>
      <w:r w:rsidR="00CB1E4E" w:rsidRPr="002F6FC9">
        <w:rPr>
          <w:rFonts w:ascii="Times New Roman" w:eastAsia="Times New Roman" w:hAnsi="Times New Roman" w:cs="Times New Roman"/>
          <w:color w:val="000000"/>
          <w:sz w:val="24"/>
          <w:szCs w:val="24"/>
          <w:lang w:eastAsia="pt-BR"/>
        </w:rPr>
        <w:t xml:space="preserve"> (</w:t>
      </w:r>
      <w:r w:rsidR="00CB1E4E" w:rsidRPr="00EA5979">
        <w:rPr>
          <w:rFonts w:ascii="Times New Roman" w:eastAsia="Times New Roman" w:hAnsi="Times New Roman" w:cs="Times New Roman"/>
          <w:color w:val="000000"/>
          <w:sz w:val="24"/>
          <w:szCs w:val="24"/>
          <w:lang w:eastAsia="pt-BR"/>
        </w:rPr>
        <w:t>id.</w:t>
      </w:r>
      <w:r w:rsidR="00EA5979" w:rsidRPr="00EA5979">
        <w:rPr>
          <w:rFonts w:ascii="Times New Roman" w:hAnsi="Times New Roman" w:cs="Times New Roman"/>
          <w:sz w:val="24"/>
          <w:szCs w:val="24"/>
        </w:rPr>
        <w:t xml:space="preserve"> 1544043</w:t>
      </w:r>
      <w:r w:rsidR="00CB1E4E" w:rsidRPr="00EA5979">
        <w:rPr>
          <w:rFonts w:ascii="Times New Roman" w:eastAsia="Times New Roman" w:hAnsi="Times New Roman" w:cs="Times New Roman"/>
          <w:color w:val="000000"/>
          <w:sz w:val="24"/>
          <w:szCs w:val="24"/>
          <w:lang w:eastAsia="pt-BR"/>
        </w:rPr>
        <w:t>)</w:t>
      </w:r>
      <w:r w:rsidR="00627170" w:rsidRPr="00EA5979">
        <w:rPr>
          <w:rFonts w:ascii="Times New Roman" w:eastAsia="Times New Roman" w:hAnsi="Times New Roman" w:cs="Times New Roman"/>
          <w:color w:val="000000"/>
          <w:sz w:val="24"/>
          <w:szCs w:val="24"/>
          <w:lang w:eastAsia="pt-BR"/>
        </w:rPr>
        <w:t xml:space="preserve"> e</w:t>
      </w:r>
      <w:r w:rsidR="00627170" w:rsidRPr="002F6FC9">
        <w:rPr>
          <w:rFonts w:ascii="Times New Roman" w:eastAsia="Times New Roman" w:hAnsi="Times New Roman" w:cs="Times New Roman"/>
          <w:color w:val="000000"/>
          <w:sz w:val="24"/>
          <w:szCs w:val="24"/>
          <w:lang w:eastAsia="pt-BR"/>
        </w:rPr>
        <w:t xml:space="preserve"> revisado em dezembro/202</w:t>
      </w:r>
      <w:r w:rsidR="00EA5979">
        <w:rPr>
          <w:rFonts w:ascii="Times New Roman" w:eastAsia="Times New Roman" w:hAnsi="Times New Roman" w:cs="Times New Roman"/>
          <w:color w:val="000000"/>
          <w:sz w:val="24"/>
          <w:szCs w:val="24"/>
          <w:lang w:eastAsia="pt-BR"/>
        </w:rPr>
        <w:t>5</w:t>
      </w:r>
      <w:r w:rsidR="00CB1E4E" w:rsidRPr="002F6FC9">
        <w:rPr>
          <w:rFonts w:ascii="Times New Roman" w:eastAsia="Times New Roman" w:hAnsi="Times New Roman" w:cs="Times New Roman"/>
          <w:color w:val="000000"/>
          <w:sz w:val="24"/>
          <w:szCs w:val="24"/>
          <w:lang w:eastAsia="pt-BR"/>
        </w:rPr>
        <w:t xml:space="preserve"> (id.</w:t>
      </w:r>
      <w:r w:rsidR="00EA5979">
        <w:rPr>
          <w:rFonts w:ascii="Times New Roman" w:eastAsia="Times New Roman" w:hAnsi="Times New Roman" w:cs="Times New Roman"/>
          <w:color w:val="000000"/>
          <w:sz w:val="24"/>
          <w:szCs w:val="24"/>
          <w:lang w:eastAsia="pt-BR"/>
        </w:rPr>
        <w:t xml:space="preserve"> </w:t>
      </w:r>
      <w:r w:rsidR="00EA5979" w:rsidRPr="00EA5979">
        <w:rPr>
          <w:rFonts w:ascii="Times New Roman" w:eastAsia="Times New Roman" w:hAnsi="Times New Roman" w:cs="Times New Roman"/>
          <w:color w:val="000000"/>
          <w:sz w:val="24"/>
          <w:szCs w:val="24"/>
          <w:lang w:eastAsia="pt-BR"/>
        </w:rPr>
        <w:t>1544063</w:t>
      </w:r>
      <w:r w:rsidR="00CB1E4E" w:rsidRPr="002F6FC9">
        <w:rPr>
          <w:rFonts w:ascii="Times New Roman" w:eastAsia="Times New Roman" w:hAnsi="Times New Roman" w:cs="Times New Roman"/>
          <w:color w:val="000000"/>
          <w:sz w:val="24"/>
          <w:szCs w:val="24"/>
          <w:lang w:eastAsia="pt-BR"/>
        </w:rPr>
        <w:t>)</w:t>
      </w:r>
      <w:r w:rsidR="006D7A68">
        <w:rPr>
          <w:rFonts w:ascii="Times New Roman" w:eastAsia="Times New Roman" w:hAnsi="Times New Roman" w:cs="Times New Roman"/>
          <w:color w:val="000000"/>
          <w:sz w:val="24"/>
          <w:szCs w:val="24"/>
          <w:lang w:eastAsia="pt-BR"/>
        </w:rPr>
        <w:t>,</w:t>
      </w:r>
      <w:r w:rsidRPr="008341D8">
        <w:rPr>
          <w:rFonts w:ascii="Times New Roman" w:eastAsia="Times New Roman" w:hAnsi="Times New Roman" w:cs="Times New Roman"/>
          <w:color w:val="000000"/>
          <w:sz w:val="24"/>
          <w:szCs w:val="24"/>
          <w:lang w:eastAsia="pt-BR"/>
        </w:rPr>
        <w:t xml:space="preserve"> para o cálculo do limite máximo de distorções relevantes</w:t>
      </w:r>
      <w:r w:rsidR="006D7A68">
        <w:rPr>
          <w:rFonts w:ascii="Times New Roman" w:eastAsia="Times New Roman" w:hAnsi="Times New Roman" w:cs="Times New Roman"/>
          <w:color w:val="000000"/>
          <w:sz w:val="24"/>
          <w:szCs w:val="24"/>
          <w:lang w:eastAsia="pt-BR"/>
        </w:rPr>
        <w:t>.</w:t>
      </w:r>
    </w:p>
    <w:p w14:paraId="51511E5B" w14:textId="3E2C5276" w:rsidR="001F2898" w:rsidRPr="006D7A68" w:rsidRDefault="006D7A68" w:rsidP="006D7A68">
      <w:pPr>
        <w:spacing w:before="240"/>
        <w:ind w:right="120" w:firstLine="708"/>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color w:val="000000"/>
          <w:sz w:val="24"/>
          <w:szCs w:val="24"/>
          <w:lang w:eastAsia="pt-BR"/>
        </w:rPr>
        <w:t xml:space="preserve">A adoção desse referencial justifica-se pela natureza institucional da Justiça Federal, cuja atuação está diretamente associada à execução de despesas necessárias à prestação de serviços jurisdicionais. Nesse contexto, </w:t>
      </w:r>
      <w:r w:rsidRPr="006D7A68">
        <w:rPr>
          <w:rFonts w:ascii="Times New Roman" w:eastAsia="Times New Roman" w:hAnsi="Times New Roman" w:cs="Times New Roman"/>
          <w:color w:val="000000"/>
          <w:sz w:val="24"/>
          <w:szCs w:val="24"/>
          <w:lang w:eastAsia="pt-BR"/>
        </w:rPr>
        <w:t xml:space="preserve">as despesas empenhadas pelo TRF6 até julho de 2025 totalizaram </w:t>
      </w:r>
      <w:r w:rsidR="00A61C3A" w:rsidRPr="008341D8">
        <w:rPr>
          <w:rFonts w:ascii="Times New Roman" w:eastAsia="Times New Roman" w:hAnsi="Times New Roman" w:cs="Times New Roman"/>
          <w:b/>
          <w:bCs/>
          <w:color w:val="000000"/>
          <w:sz w:val="24"/>
          <w:szCs w:val="24"/>
          <w:lang w:eastAsia="pt-BR"/>
        </w:rPr>
        <w:t xml:space="preserve">R$ </w:t>
      </w:r>
      <w:r w:rsidR="00EA5979">
        <w:rPr>
          <w:rFonts w:ascii="Times New Roman" w:eastAsia="Times New Roman" w:hAnsi="Times New Roman" w:cs="Times New Roman"/>
          <w:b/>
          <w:bCs/>
          <w:color w:val="000000"/>
          <w:sz w:val="24"/>
          <w:szCs w:val="24"/>
          <w:lang w:eastAsia="pt-BR"/>
        </w:rPr>
        <w:t>4</w:t>
      </w:r>
      <w:r w:rsidR="00AC07F1">
        <w:rPr>
          <w:rFonts w:ascii="Times New Roman" w:eastAsia="Times New Roman" w:hAnsi="Times New Roman" w:cs="Times New Roman"/>
          <w:b/>
          <w:bCs/>
          <w:color w:val="000000"/>
          <w:sz w:val="24"/>
          <w:szCs w:val="24"/>
          <w:lang w:eastAsia="pt-BR"/>
        </w:rPr>
        <w:t>.</w:t>
      </w:r>
      <w:r w:rsidR="00EA5979">
        <w:rPr>
          <w:rFonts w:ascii="Times New Roman" w:eastAsia="Times New Roman" w:hAnsi="Times New Roman" w:cs="Times New Roman"/>
          <w:b/>
          <w:bCs/>
          <w:color w:val="000000"/>
          <w:sz w:val="24"/>
          <w:szCs w:val="24"/>
          <w:lang w:eastAsia="pt-BR"/>
        </w:rPr>
        <w:t>748</w:t>
      </w:r>
      <w:r w:rsidR="00AC07F1">
        <w:rPr>
          <w:rFonts w:ascii="Times New Roman" w:eastAsia="Times New Roman" w:hAnsi="Times New Roman" w:cs="Times New Roman"/>
          <w:b/>
          <w:bCs/>
          <w:color w:val="000000"/>
          <w:sz w:val="24"/>
          <w:szCs w:val="24"/>
          <w:lang w:eastAsia="pt-BR"/>
        </w:rPr>
        <w:t>.</w:t>
      </w:r>
      <w:r w:rsidR="00EA5979">
        <w:rPr>
          <w:rFonts w:ascii="Times New Roman" w:eastAsia="Times New Roman" w:hAnsi="Times New Roman" w:cs="Times New Roman"/>
          <w:b/>
          <w:bCs/>
          <w:color w:val="000000"/>
          <w:sz w:val="24"/>
          <w:szCs w:val="24"/>
          <w:lang w:eastAsia="pt-BR"/>
        </w:rPr>
        <w:t>825</w:t>
      </w:r>
      <w:r w:rsidR="00AC07F1">
        <w:rPr>
          <w:rFonts w:ascii="Times New Roman" w:eastAsia="Times New Roman" w:hAnsi="Times New Roman" w:cs="Times New Roman"/>
          <w:b/>
          <w:bCs/>
          <w:color w:val="000000"/>
          <w:sz w:val="24"/>
          <w:szCs w:val="24"/>
          <w:lang w:eastAsia="pt-BR"/>
        </w:rPr>
        <w:t>.</w:t>
      </w:r>
      <w:r w:rsidR="00EA5979">
        <w:rPr>
          <w:rFonts w:ascii="Times New Roman" w:eastAsia="Times New Roman" w:hAnsi="Times New Roman" w:cs="Times New Roman"/>
          <w:b/>
          <w:bCs/>
          <w:color w:val="000000"/>
          <w:sz w:val="24"/>
          <w:szCs w:val="24"/>
          <w:lang w:eastAsia="pt-BR"/>
        </w:rPr>
        <w:t>695</w:t>
      </w:r>
      <w:r w:rsidR="00AC07F1">
        <w:rPr>
          <w:rFonts w:ascii="Times New Roman" w:eastAsia="Times New Roman" w:hAnsi="Times New Roman" w:cs="Times New Roman"/>
          <w:b/>
          <w:bCs/>
          <w:color w:val="000000"/>
          <w:sz w:val="24"/>
          <w:szCs w:val="24"/>
          <w:lang w:eastAsia="pt-BR"/>
        </w:rPr>
        <w:t>,</w:t>
      </w:r>
      <w:r w:rsidR="00EA5979">
        <w:rPr>
          <w:rFonts w:ascii="Times New Roman" w:eastAsia="Times New Roman" w:hAnsi="Times New Roman" w:cs="Times New Roman"/>
          <w:b/>
          <w:bCs/>
          <w:color w:val="000000"/>
          <w:sz w:val="24"/>
          <w:szCs w:val="24"/>
          <w:lang w:eastAsia="pt-BR"/>
        </w:rPr>
        <w:t>34</w:t>
      </w:r>
      <w:r w:rsidR="00A61C3A" w:rsidRPr="008341D8">
        <w:rPr>
          <w:rFonts w:ascii="Times New Roman" w:eastAsia="Times New Roman" w:hAnsi="Times New Roman" w:cs="Times New Roman"/>
          <w:color w:val="000000"/>
          <w:sz w:val="24"/>
          <w:szCs w:val="24"/>
          <w:lang w:eastAsia="pt-BR"/>
        </w:rPr>
        <w:t xml:space="preserve"> (</w:t>
      </w:r>
      <w:r w:rsidR="00EA5979">
        <w:rPr>
          <w:rFonts w:ascii="Times New Roman" w:eastAsia="Times New Roman" w:hAnsi="Times New Roman" w:cs="Times New Roman"/>
          <w:color w:val="000000"/>
          <w:sz w:val="24"/>
          <w:szCs w:val="24"/>
          <w:lang w:eastAsia="pt-BR"/>
        </w:rPr>
        <w:t>quatro</w:t>
      </w:r>
      <w:r w:rsidR="00AC07F1">
        <w:rPr>
          <w:rFonts w:ascii="Times New Roman" w:eastAsia="Times New Roman" w:hAnsi="Times New Roman" w:cs="Times New Roman"/>
          <w:color w:val="000000"/>
          <w:sz w:val="24"/>
          <w:szCs w:val="24"/>
          <w:lang w:eastAsia="pt-BR"/>
        </w:rPr>
        <w:t xml:space="preserve"> bilh</w:t>
      </w:r>
      <w:r w:rsidR="00EA5979">
        <w:rPr>
          <w:rFonts w:ascii="Times New Roman" w:eastAsia="Times New Roman" w:hAnsi="Times New Roman" w:cs="Times New Roman"/>
          <w:color w:val="000000"/>
          <w:sz w:val="24"/>
          <w:szCs w:val="24"/>
          <w:lang w:eastAsia="pt-BR"/>
        </w:rPr>
        <w:t xml:space="preserve">ões setecentos e quarenta e oito </w:t>
      </w:r>
      <w:r w:rsidR="00AC07F1">
        <w:rPr>
          <w:rFonts w:ascii="Times New Roman" w:eastAsia="Times New Roman" w:hAnsi="Times New Roman" w:cs="Times New Roman"/>
          <w:color w:val="000000"/>
          <w:sz w:val="24"/>
          <w:szCs w:val="24"/>
          <w:lang w:eastAsia="pt-BR"/>
        </w:rPr>
        <w:t>milhões</w:t>
      </w:r>
      <w:r w:rsidR="00EA5979">
        <w:rPr>
          <w:rFonts w:ascii="Times New Roman" w:eastAsia="Times New Roman" w:hAnsi="Times New Roman" w:cs="Times New Roman"/>
          <w:color w:val="000000"/>
          <w:sz w:val="24"/>
          <w:szCs w:val="24"/>
          <w:lang w:eastAsia="pt-BR"/>
        </w:rPr>
        <w:t xml:space="preserve"> oitocentos e vinte e cinco</w:t>
      </w:r>
      <w:r w:rsidR="00AC07F1">
        <w:rPr>
          <w:rFonts w:ascii="Times New Roman" w:eastAsia="Times New Roman" w:hAnsi="Times New Roman" w:cs="Times New Roman"/>
          <w:color w:val="000000"/>
          <w:sz w:val="24"/>
          <w:szCs w:val="24"/>
          <w:lang w:eastAsia="pt-BR"/>
        </w:rPr>
        <w:t xml:space="preserve"> </w:t>
      </w:r>
      <w:r w:rsidR="00A44F25">
        <w:rPr>
          <w:rFonts w:ascii="Times New Roman" w:eastAsia="Times New Roman" w:hAnsi="Times New Roman" w:cs="Times New Roman"/>
          <w:color w:val="000000"/>
          <w:sz w:val="24"/>
          <w:szCs w:val="24"/>
          <w:lang w:eastAsia="pt-BR"/>
        </w:rPr>
        <w:t>mil</w:t>
      </w:r>
      <w:r w:rsidR="00EA5979">
        <w:rPr>
          <w:rFonts w:ascii="Times New Roman" w:eastAsia="Times New Roman" w:hAnsi="Times New Roman" w:cs="Times New Roman"/>
          <w:color w:val="000000"/>
          <w:sz w:val="24"/>
          <w:szCs w:val="24"/>
          <w:lang w:eastAsia="pt-BR"/>
        </w:rPr>
        <w:t xml:space="preserve"> seiscentos e noventa e cinco</w:t>
      </w:r>
      <w:r w:rsidR="00A44F25">
        <w:rPr>
          <w:rFonts w:ascii="Times New Roman" w:eastAsia="Times New Roman" w:hAnsi="Times New Roman" w:cs="Times New Roman"/>
          <w:color w:val="000000"/>
          <w:sz w:val="24"/>
          <w:szCs w:val="24"/>
          <w:lang w:eastAsia="pt-BR"/>
        </w:rPr>
        <w:t xml:space="preserve"> reais e </w:t>
      </w:r>
      <w:r w:rsidR="00EA5979">
        <w:rPr>
          <w:rFonts w:ascii="Times New Roman" w:eastAsia="Times New Roman" w:hAnsi="Times New Roman" w:cs="Times New Roman"/>
          <w:color w:val="000000"/>
          <w:sz w:val="24"/>
          <w:szCs w:val="24"/>
          <w:lang w:eastAsia="pt-BR"/>
        </w:rPr>
        <w:t>trinta e quatro</w:t>
      </w:r>
      <w:r w:rsidR="00D1242E">
        <w:rPr>
          <w:rFonts w:ascii="Times New Roman" w:eastAsia="Times New Roman" w:hAnsi="Times New Roman" w:cs="Times New Roman"/>
          <w:color w:val="000000"/>
          <w:sz w:val="24"/>
          <w:szCs w:val="24"/>
          <w:lang w:eastAsia="pt-BR"/>
        </w:rPr>
        <w:t xml:space="preserve"> centavos</w:t>
      </w:r>
      <w:r w:rsidR="001F1FE0">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valor significativamente superior ao ativo total na mesma data de</w:t>
      </w:r>
      <w:r w:rsidR="00A61C3A" w:rsidRPr="00FF4F50">
        <w:rPr>
          <w:rFonts w:ascii="Times New Roman" w:eastAsia="Times New Roman" w:hAnsi="Times New Roman" w:cs="Times New Roman"/>
          <w:color w:val="000000"/>
          <w:sz w:val="24"/>
          <w:szCs w:val="24"/>
          <w:lang w:eastAsia="pt-BR"/>
        </w:rPr>
        <w:t xml:space="preserve"> </w:t>
      </w:r>
      <w:r w:rsidR="00A61C3A" w:rsidRPr="00E46931">
        <w:rPr>
          <w:rFonts w:ascii="Times New Roman" w:eastAsia="Times New Roman" w:hAnsi="Times New Roman" w:cs="Times New Roman"/>
          <w:b/>
          <w:bCs/>
          <w:color w:val="000000"/>
          <w:sz w:val="24"/>
          <w:szCs w:val="24"/>
          <w:lang w:eastAsia="pt-BR"/>
        </w:rPr>
        <w:t xml:space="preserve">R$ </w:t>
      </w:r>
      <w:r w:rsidR="00EA5979">
        <w:rPr>
          <w:rFonts w:ascii="Times New Roman" w:eastAsia="Times New Roman" w:hAnsi="Times New Roman" w:cs="Times New Roman"/>
          <w:b/>
          <w:bCs/>
          <w:color w:val="000000"/>
          <w:sz w:val="24"/>
          <w:szCs w:val="24"/>
          <w:lang w:eastAsia="pt-BR"/>
        </w:rPr>
        <w:t>454.920.058,57</w:t>
      </w:r>
      <w:r w:rsidR="00E46931" w:rsidRPr="008341D8">
        <w:rPr>
          <w:rFonts w:ascii="Times New Roman" w:eastAsia="Times New Roman" w:hAnsi="Times New Roman" w:cs="Times New Roman"/>
          <w:color w:val="000000"/>
          <w:sz w:val="24"/>
          <w:szCs w:val="24"/>
          <w:lang w:eastAsia="pt-BR"/>
        </w:rPr>
        <w:t xml:space="preserve"> </w:t>
      </w:r>
      <w:r w:rsidR="00A61C3A" w:rsidRPr="008341D8">
        <w:rPr>
          <w:rFonts w:ascii="Times New Roman" w:eastAsia="Times New Roman" w:hAnsi="Times New Roman" w:cs="Times New Roman"/>
          <w:color w:val="000000"/>
          <w:sz w:val="24"/>
          <w:szCs w:val="24"/>
          <w:lang w:eastAsia="pt-BR"/>
        </w:rPr>
        <w:t>(</w:t>
      </w:r>
      <w:r w:rsidR="00EA5979">
        <w:rPr>
          <w:rFonts w:ascii="Times New Roman" w:eastAsia="Times New Roman" w:hAnsi="Times New Roman" w:cs="Times New Roman"/>
          <w:color w:val="000000"/>
          <w:sz w:val="24"/>
          <w:szCs w:val="24"/>
          <w:lang w:eastAsia="pt-BR"/>
        </w:rPr>
        <w:t>quatrocentos e cinquenta e quatro milhões novecentos e vinte mil cinquenta e oito reais e cinquenta e sete centavos</w:t>
      </w:r>
      <w:r w:rsidR="00A61C3A" w:rsidRPr="008341D8">
        <w:rPr>
          <w:rFonts w:ascii="Times New Roman" w:eastAsia="Times New Roman" w:hAnsi="Times New Roman" w:cs="Times New Roman"/>
          <w:color w:val="000000"/>
          <w:sz w:val="24"/>
          <w:szCs w:val="24"/>
          <w:lang w:eastAsia="pt-BR"/>
        </w:rPr>
        <w:t>).</w:t>
      </w:r>
    </w:p>
    <w:p w14:paraId="300662C0" w14:textId="6C42599F" w:rsidR="001F2898" w:rsidRDefault="00A61C3A" w:rsidP="0059060B">
      <w:pPr>
        <w:spacing w:before="240"/>
        <w:ind w:right="120" w:firstLine="708"/>
        <w:jc w:val="both"/>
        <w:rPr>
          <w:rFonts w:ascii="Times New Roman" w:eastAsia="Times New Roman" w:hAnsi="Times New Roman" w:cs="Times New Roman"/>
          <w:sz w:val="24"/>
          <w:szCs w:val="24"/>
          <w:lang w:eastAsia="pt-BR"/>
        </w:rPr>
      </w:pPr>
      <w:r w:rsidRPr="008341D8">
        <w:rPr>
          <w:rFonts w:ascii="Times New Roman" w:eastAsia="Times New Roman" w:hAnsi="Times New Roman" w:cs="Times New Roman"/>
          <w:sz w:val="24"/>
          <w:szCs w:val="24"/>
          <w:lang w:eastAsia="pt-BR"/>
        </w:rPr>
        <w:t>Quanto aos níveis de materialidade</w:t>
      </w:r>
      <w:r w:rsidRPr="009831FE">
        <w:rPr>
          <w:rFonts w:ascii="Times New Roman" w:eastAsia="Times New Roman" w:hAnsi="Times New Roman" w:cs="Times New Roman"/>
          <w:sz w:val="24"/>
          <w:szCs w:val="24"/>
          <w:lang w:eastAsia="pt-BR"/>
        </w:rPr>
        <w:t xml:space="preserve">, </w:t>
      </w:r>
      <w:r w:rsidRPr="000A0127">
        <w:rPr>
          <w:rFonts w:ascii="Times New Roman" w:eastAsia="Times New Roman" w:hAnsi="Times New Roman" w:cs="Times New Roman"/>
          <w:sz w:val="24"/>
          <w:szCs w:val="24"/>
          <w:lang w:eastAsia="pt-BR"/>
        </w:rPr>
        <w:t>a </w:t>
      </w:r>
      <w:hyperlink r:id="rId57" w:tgtFrame="_blank" w:history="1">
        <w:r w:rsidR="000A0127" w:rsidRPr="000A0127">
          <w:rPr>
            <w:rStyle w:val="Hyperlink"/>
            <w:rFonts w:ascii="Times New Roman" w:hAnsi="Times New Roman" w:cs="Times New Roman"/>
            <w:sz w:val="24"/>
            <w:szCs w:val="24"/>
          </w:rPr>
          <w:t>Decisão Normativa TCU nº 198/2022</w:t>
        </w:r>
      </w:hyperlink>
      <w:r w:rsidRPr="009831FE">
        <w:rPr>
          <w:rFonts w:ascii="Times New Roman" w:eastAsia="Times New Roman" w:hAnsi="Times New Roman" w:cs="Times New Roman"/>
          <w:sz w:val="24"/>
          <w:szCs w:val="24"/>
          <w:lang w:eastAsia="pt-BR"/>
        </w:rPr>
        <w:t>, de 23 de março de 2022, estabeleceu que para a certificação de contas realizadas pelos órgãos do</w:t>
      </w:r>
      <w:r w:rsidRPr="008341D8">
        <w:rPr>
          <w:rFonts w:ascii="Times New Roman" w:eastAsia="Times New Roman" w:hAnsi="Times New Roman" w:cs="Times New Roman"/>
          <w:sz w:val="24"/>
          <w:szCs w:val="24"/>
          <w:lang w:eastAsia="pt-BR"/>
        </w:rPr>
        <w:t xml:space="preserve"> sistema de controle interno deve-se observar os seguintes níveis de materialidade:</w:t>
      </w:r>
    </w:p>
    <w:p w14:paraId="0007237D" w14:textId="77777777" w:rsidR="00C103ED" w:rsidRDefault="00C103ED" w:rsidP="00C103ED">
      <w:pPr>
        <w:ind w:right="119"/>
        <w:jc w:val="both"/>
        <w:rPr>
          <w:rFonts w:ascii="Times New Roman" w:eastAsia="Times New Roman" w:hAnsi="Times New Roman" w:cs="Times New Roman"/>
          <w:sz w:val="24"/>
          <w:szCs w:val="24"/>
          <w:lang w:eastAsia="pt-BR"/>
        </w:rPr>
      </w:pPr>
    </w:p>
    <w:p w14:paraId="2CE92DAE" w14:textId="77777777" w:rsidR="001F2898" w:rsidRPr="002318E8" w:rsidRDefault="00562057" w:rsidP="0059060B">
      <w:pPr>
        <w:ind w:left="2124" w:right="119" w:firstLine="0"/>
        <w:jc w:val="both"/>
        <w:rPr>
          <w:rFonts w:ascii="Times New Roman" w:eastAsia="Times New Roman" w:hAnsi="Times New Roman" w:cs="Times New Roman"/>
          <w:sz w:val="20"/>
          <w:szCs w:val="20"/>
          <w:lang w:eastAsia="pt-BR"/>
        </w:rPr>
      </w:pPr>
      <w:r w:rsidRPr="002318E8">
        <w:rPr>
          <w:rFonts w:ascii="Times New Roman" w:eastAsia="Times New Roman" w:hAnsi="Times New Roman" w:cs="Times New Roman"/>
          <w:sz w:val="20"/>
          <w:szCs w:val="20"/>
          <w:lang w:eastAsia="pt-BR"/>
        </w:rPr>
        <w:lastRenderedPageBreak/>
        <w:t>“</w:t>
      </w:r>
      <w:r w:rsidR="00A61C3A" w:rsidRPr="002318E8">
        <w:rPr>
          <w:rFonts w:ascii="Times New Roman" w:eastAsia="Times New Roman" w:hAnsi="Times New Roman" w:cs="Times New Roman"/>
          <w:sz w:val="20"/>
          <w:szCs w:val="20"/>
          <w:lang w:eastAsia="pt-BR"/>
        </w:rPr>
        <w:t>Art. 22. Para certificação de contas tanto nas auditorias sob responsabilidade do TCU quanto nas realizadas pelos órgãos do sistema de controle interno, deve-se observar os seguintes níveis de materialidade:</w:t>
      </w:r>
    </w:p>
    <w:p w14:paraId="088A39B1" w14:textId="77777777" w:rsidR="001F2898" w:rsidRPr="002318E8" w:rsidRDefault="00A61C3A" w:rsidP="0059060B">
      <w:pPr>
        <w:ind w:left="2124" w:right="119" w:firstLine="0"/>
        <w:jc w:val="both"/>
        <w:rPr>
          <w:rFonts w:ascii="Times New Roman" w:eastAsia="Times New Roman" w:hAnsi="Times New Roman" w:cs="Times New Roman"/>
          <w:sz w:val="20"/>
          <w:szCs w:val="20"/>
          <w:lang w:eastAsia="pt-BR"/>
        </w:rPr>
      </w:pPr>
      <w:r w:rsidRPr="002318E8">
        <w:rPr>
          <w:rFonts w:ascii="Times New Roman" w:eastAsia="Times New Roman" w:hAnsi="Times New Roman" w:cs="Times New Roman"/>
          <w:sz w:val="20"/>
          <w:szCs w:val="20"/>
          <w:lang w:eastAsia="pt-BR"/>
        </w:rPr>
        <w:t xml:space="preserve">I - até </w:t>
      </w:r>
      <w:r w:rsidRPr="002318E8">
        <w:rPr>
          <w:rFonts w:ascii="Times New Roman" w:eastAsia="Times New Roman" w:hAnsi="Times New Roman" w:cs="Times New Roman"/>
          <w:b/>
          <w:bCs/>
          <w:sz w:val="20"/>
          <w:szCs w:val="20"/>
          <w:lang w:eastAsia="pt-BR"/>
        </w:rPr>
        <w:t>2%</w:t>
      </w:r>
      <w:r w:rsidRPr="002318E8">
        <w:rPr>
          <w:rFonts w:ascii="Times New Roman" w:eastAsia="Times New Roman" w:hAnsi="Times New Roman" w:cs="Times New Roman"/>
          <w:sz w:val="20"/>
          <w:szCs w:val="20"/>
          <w:lang w:eastAsia="pt-BR"/>
        </w:rPr>
        <w:t xml:space="preserve"> do referencial que melhor reflita o nível de atividade financeira da UPC para fins de planejamento da auditoria de contas e para emissão de opiniões sobre a confiabilidade das demonstrações contábeis e a conformidade das transações subjacentes;</w:t>
      </w:r>
    </w:p>
    <w:p w14:paraId="39D3F55F" w14:textId="77777777" w:rsidR="001F2898" w:rsidRPr="002318E8" w:rsidRDefault="00A61C3A" w:rsidP="0059060B">
      <w:pPr>
        <w:ind w:left="2124" w:right="119" w:firstLine="0"/>
        <w:jc w:val="both"/>
        <w:rPr>
          <w:rFonts w:ascii="Times New Roman" w:eastAsia="Times New Roman" w:hAnsi="Times New Roman" w:cs="Times New Roman"/>
          <w:sz w:val="20"/>
          <w:szCs w:val="20"/>
          <w:lang w:eastAsia="pt-BR"/>
        </w:rPr>
      </w:pPr>
      <w:r w:rsidRPr="002318E8">
        <w:rPr>
          <w:rFonts w:ascii="Times New Roman" w:eastAsia="Times New Roman" w:hAnsi="Times New Roman" w:cs="Times New Roman"/>
          <w:sz w:val="20"/>
          <w:szCs w:val="20"/>
          <w:lang w:eastAsia="pt-BR"/>
        </w:rPr>
        <w:t xml:space="preserve">II - </w:t>
      </w:r>
      <w:r w:rsidRPr="002318E8">
        <w:rPr>
          <w:rFonts w:ascii="Times New Roman" w:eastAsia="Times New Roman" w:hAnsi="Times New Roman" w:cs="Times New Roman"/>
          <w:b/>
          <w:bCs/>
          <w:sz w:val="20"/>
          <w:szCs w:val="20"/>
          <w:lang w:eastAsia="pt-BR"/>
        </w:rPr>
        <w:t>50%</w:t>
      </w:r>
      <w:r w:rsidRPr="002318E8">
        <w:rPr>
          <w:rFonts w:ascii="Times New Roman" w:eastAsia="Times New Roman" w:hAnsi="Times New Roman" w:cs="Times New Roman"/>
          <w:sz w:val="20"/>
          <w:szCs w:val="20"/>
          <w:lang w:eastAsia="pt-BR"/>
        </w:rPr>
        <w:t xml:space="preserve"> do valor obtido no inciso I para determinação das áreas (saldos contábeis e classes de transações) que comporão o escopo do trabalho; e de 50% a 75% do mesmo valor para determinação da distorção tolerável, conforme maior ou menor, respectivamente, o risco de distorção avaliado das referidas áreas; e</w:t>
      </w:r>
    </w:p>
    <w:p w14:paraId="13790E96" w14:textId="2B75C892" w:rsidR="001F2898" w:rsidRPr="002318E8" w:rsidRDefault="00A61C3A" w:rsidP="0059060B">
      <w:pPr>
        <w:ind w:left="2124" w:right="119" w:firstLine="0"/>
        <w:jc w:val="both"/>
        <w:rPr>
          <w:rFonts w:ascii="Times New Roman" w:eastAsia="Times New Roman" w:hAnsi="Times New Roman" w:cs="Times New Roman"/>
          <w:sz w:val="20"/>
          <w:szCs w:val="20"/>
          <w:lang w:eastAsia="pt-BR"/>
        </w:rPr>
      </w:pPr>
      <w:r w:rsidRPr="002318E8">
        <w:rPr>
          <w:rFonts w:ascii="Times New Roman" w:eastAsia="Times New Roman" w:hAnsi="Times New Roman" w:cs="Times New Roman"/>
          <w:sz w:val="20"/>
          <w:szCs w:val="20"/>
          <w:lang w:eastAsia="pt-BR"/>
        </w:rPr>
        <w:t xml:space="preserve">III – até </w:t>
      </w:r>
      <w:r w:rsidRPr="002318E8">
        <w:rPr>
          <w:rFonts w:ascii="Times New Roman" w:eastAsia="Times New Roman" w:hAnsi="Times New Roman" w:cs="Times New Roman"/>
          <w:b/>
          <w:bCs/>
          <w:sz w:val="20"/>
          <w:szCs w:val="20"/>
          <w:lang w:eastAsia="pt-BR"/>
        </w:rPr>
        <w:t>5%</w:t>
      </w:r>
      <w:r w:rsidRPr="002318E8">
        <w:rPr>
          <w:rFonts w:ascii="Times New Roman" w:eastAsia="Times New Roman" w:hAnsi="Times New Roman" w:cs="Times New Roman"/>
          <w:sz w:val="20"/>
          <w:szCs w:val="20"/>
          <w:lang w:eastAsia="pt-BR"/>
        </w:rPr>
        <w:t xml:space="preserve"> do valor obtido no inciso I para fins de determinação do limite para acumulação de distorções ou não conformidades, conforme maior ou menor, respectivamente, o risco de distorção ou não conformidade avaliado no nív</w:t>
      </w:r>
      <w:r w:rsidR="00253AA3" w:rsidRPr="002318E8">
        <w:rPr>
          <w:rFonts w:ascii="Times New Roman" w:eastAsia="Times New Roman" w:hAnsi="Times New Roman" w:cs="Times New Roman"/>
          <w:sz w:val="20"/>
          <w:szCs w:val="20"/>
          <w:lang w:eastAsia="pt-BR"/>
        </w:rPr>
        <w:t xml:space="preserve">el das demonstrações </w:t>
      </w:r>
      <w:r w:rsidR="00C103ED" w:rsidRPr="002318E8">
        <w:rPr>
          <w:rFonts w:ascii="Times New Roman" w:eastAsia="Times New Roman" w:hAnsi="Times New Roman" w:cs="Times New Roman"/>
          <w:sz w:val="20"/>
          <w:szCs w:val="20"/>
          <w:lang w:eastAsia="pt-BR"/>
        </w:rPr>
        <w:t>contábeis</w:t>
      </w:r>
      <w:r w:rsidR="004645B4" w:rsidRPr="002318E8">
        <w:rPr>
          <w:rFonts w:ascii="Times New Roman" w:eastAsia="Times New Roman" w:hAnsi="Times New Roman" w:cs="Times New Roman"/>
          <w:sz w:val="20"/>
          <w:szCs w:val="20"/>
          <w:lang w:eastAsia="pt-BR"/>
        </w:rPr>
        <w:t>.”</w:t>
      </w:r>
    </w:p>
    <w:p w14:paraId="26315880" w14:textId="77777777" w:rsidR="00797719" w:rsidRDefault="00797719" w:rsidP="00C103ED">
      <w:pPr>
        <w:ind w:right="119" w:firstLine="0"/>
        <w:jc w:val="both"/>
        <w:rPr>
          <w:rFonts w:ascii="Times New Roman" w:eastAsia="Times New Roman" w:hAnsi="Times New Roman" w:cs="Times New Roman"/>
          <w:color w:val="000000"/>
          <w:sz w:val="24"/>
          <w:szCs w:val="24"/>
          <w:lang w:eastAsia="pt-BR"/>
        </w:rPr>
      </w:pPr>
    </w:p>
    <w:p w14:paraId="4E1CEF54" w14:textId="0B2C89C0" w:rsidR="001F2898" w:rsidRDefault="00A61C3A" w:rsidP="0059060B">
      <w:pPr>
        <w:spacing w:before="240"/>
        <w:ind w:right="120" w:firstLine="708"/>
        <w:jc w:val="both"/>
        <w:rPr>
          <w:rFonts w:ascii="Times New Roman" w:eastAsia="Times New Roman" w:hAnsi="Times New Roman" w:cs="Times New Roman"/>
          <w:sz w:val="24"/>
          <w:szCs w:val="24"/>
          <w:lang w:eastAsia="pt-BR"/>
        </w:rPr>
      </w:pPr>
      <w:r w:rsidRPr="00BE584F">
        <w:rPr>
          <w:rFonts w:ascii="Times New Roman" w:eastAsia="Times New Roman" w:hAnsi="Times New Roman" w:cs="Times New Roman"/>
          <w:color w:val="000000"/>
          <w:sz w:val="24"/>
          <w:szCs w:val="24"/>
          <w:lang w:eastAsia="pt-BR"/>
        </w:rPr>
        <w:t xml:space="preserve">Neste sentido, a Materialidade Global (MG), a Materialidade para Execução da Auditoria (ME) e o Limite para Acumulação de Distorções (LAD) foram determinados nesta auditoria, considerando a relevância financeira individual da conta, classe ou ciclo de transações em relação ao total das Despesas Empenhadas </w:t>
      </w:r>
      <w:r w:rsidR="009C4EB7">
        <w:rPr>
          <w:rFonts w:ascii="Times New Roman" w:eastAsia="Times New Roman" w:hAnsi="Times New Roman" w:cs="Times New Roman"/>
          <w:color w:val="000000"/>
          <w:sz w:val="24"/>
          <w:szCs w:val="24"/>
          <w:lang w:eastAsia="pt-BR"/>
        </w:rPr>
        <w:t>em 31/07/202</w:t>
      </w:r>
      <w:r w:rsidR="004645B4">
        <w:rPr>
          <w:rFonts w:ascii="Times New Roman" w:eastAsia="Times New Roman" w:hAnsi="Times New Roman" w:cs="Times New Roman"/>
          <w:color w:val="000000"/>
          <w:sz w:val="24"/>
          <w:szCs w:val="24"/>
          <w:lang w:eastAsia="pt-BR"/>
        </w:rPr>
        <w:t>5</w:t>
      </w:r>
      <w:r w:rsidR="00321167">
        <w:rPr>
          <w:rFonts w:ascii="Times New Roman" w:eastAsia="Times New Roman" w:hAnsi="Times New Roman" w:cs="Times New Roman"/>
          <w:color w:val="000000"/>
          <w:sz w:val="24"/>
          <w:szCs w:val="24"/>
          <w:lang w:eastAsia="pt-BR"/>
        </w:rPr>
        <w:t xml:space="preserve">. A Tabela </w:t>
      </w:r>
      <w:r w:rsidR="00364A8D">
        <w:rPr>
          <w:rFonts w:ascii="Times New Roman" w:eastAsia="Times New Roman" w:hAnsi="Times New Roman" w:cs="Times New Roman"/>
          <w:color w:val="000000"/>
          <w:sz w:val="24"/>
          <w:szCs w:val="24"/>
          <w:lang w:eastAsia="pt-BR"/>
        </w:rPr>
        <w:t>4</w:t>
      </w:r>
      <w:r w:rsidRPr="00BE584F">
        <w:rPr>
          <w:rFonts w:ascii="Times New Roman" w:eastAsia="Times New Roman" w:hAnsi="Times New Roman" w:cs="Times New Roman"/>
          <w:color w:val="000000"/>
          <w:sz w:val="24"/>
          <w:szCs w:val="24"/>
          <w:lang w:eastAsia="pt-BR"/>
        </w:rPr>
        <w:t>, abaixo, apresenta os níveis de materialidade com seus respectivos valores estabelecidos no planejamento e utilizados na execução da auditoria.</w:t>
      </w:r>
    </w:p>
    <w:p w14:paraId="471658A2" w14:textId="77777777" w:rsidR="001F2898" w:rsidRDefault="001F2898" w:rsidP="0059060B">
      <w:pPr>
        <w:ind w:right="120" w:firstLine="0"/>
        <w:jc w:val="both"/>
        <w:rPr>
          <w:rFonts w:ascii="Times New Roman" w:eastAsia="Times New Roman" w:hAnsi="Times New Roman" w:cs="Times New Roman"/>
          <w:sz w:val="24"/>
          <w:szCs w:val="24"/>
          <w:lang w:eastAsia="pt-BR"/>
        </w:rPr>
      </w:pPr>
      <w:bookmarkStart w:id="27" w:name="_Toc38483634"/>
    </w:p>
    <w:p w14:paraId="3F532701" w14:textId="6975D32B" w:rsidR="00A61C3A" w:rsidRDefault="00321167" w:rsidP="0059060B">
      <w:pPr>
        <w:ind w:right="119" w:firstLine="0"/>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 xml:space="preserve">Tabela </w:t>
      </w:r>
      <w:r w:rsidR="00364A8D">
        <w:rPr>
          <w:rFonts w:ascii="Times New Roman" w:eastAsia="Times New Roman" w:hAnsi="Times New Roman" w:cs="Times New Roman"/>
          <w:b/>
          <w:bCs/>
          <w:color w:val="000000"/>
          <w:lang w:eastAsia="pt-BR"/>
        </w:rPr>
        <w:t>4</w:t>
      </w:r>
      <w:r w:rsidR="00A61C3A" w:rsidRPr="009C4EB7">
        <w:rPr>
          <w:rFonts w:ascii="Times New Roman" w:eastAsia="Times New Roman" w:hAnsi="Times New Roman" w:cs="Times New Roman"/>
          <w:b/>
          <w:bCs/>
          <w:color w:val="000000"/>
          <w:lang w:eastAsia="pt-BR"/>
        </w:rPr>
        <w:t> – Níveis de Materialidade (R$)</w:t>
      </w:r>
    </w:p>
    <w:tbl>
      <w:tblPr>
        <w:tblStyle w:val="Tabelacomgrade"/>
        <w:tblW w:w="0" w:type="auto"/>
        <w:jc w:val="center"/>
        <w:tblLook w:val="04A0" w:firstRow="1" w:lastRow="0" w:firstColumn="1" w:lastColumn="0" w:noHBand="0" w:noVBand="1"/>
      </w:tblPr>
      <w:tblGrid>
        <w:gridCol w:w="4536"/>
        <w:gridCol w:w="2268"/>
        <w:gridCol w:w="1984"/>
      </w:tblGrid>
      <w:tr w:rsidR="007F6B72" w:rsidRPr="00724160" w14:paraId="1316B9D0" w14:textId="77777777" w:rsidTr="00713094">
        <w:trPr>
          <w:jc w:val="center"/>
        </w:trPr>
        <w:tc>
          <w:tcPr>
            <w:tcW w:w="4536" w:type="dxa"/>
            <w:vMerge w:val="restart"/>
            <w:shd w:val="clear" w:color="auto" w:fill="D9D9D9" w:themeFill="background1" w:themeFillShade="D9"/>
            <w:vAlign w:val="center"/>
          </w:tcPr>
          <w:p w14:paraId="68C73408" w14:textId="7506BD25" w:rsidR="007F6B72" w:rsidRPr="00724160" w:rsidRDefault="007F6B72" w:rsidP="007F6B72">
            <w:pPr>
              <w:ind w:right="119" w:firstLine="0"/>
              <w:jc w:val="center"/>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b/>
                <w:bCs/>
                <w:sz w:val="20"/>
                <w:szCs w:val="20"/>
                <w:lang w:eastAsia="pt-BR"/>
              </w:rPr>
              <w:t>VR – Valor de referência</w:t>
            </w:r>
          </w:p>
        </w:tc>
        <w:tc>
          <w:tcPr>
            <w:tcW w:w="2268" w:type="dxa"/>
            <w:vMerge w:val="restart"/>
            <w:shd w:val="clear" w:color="auto" w:fill="D9D9D9" w:themeFill="background1" w:themeFillShade="D9"/>
            <w:vAlign w:val="center"/>
          </w:tcPr>
          <w:p w14:paraId="3046530B" w14:textId="77777777" w:rsidR="007F6B72" w:rsidRPr="00724160" w:rsidRDefault="007F6B72" w:rsidP="007F6B72">
            <w:pPr>
              <w:ind w:right="60" w:firstLine="0"/>
              <w:jc w:val="center"/>
              <w:rPr>
                <w:rFonts w:ascii="Times New Roman" w:eastAsia="Times New Roman" w:hAnsi="Times New Roman" w:cs="Times New Roman"/>
                <w:sz w:val="20"/>
                <w:szCs w:val="20"/>
                <w:lang w:eastAsia="pt-BR"/>
              </w:rPr>
            </w:pPr>
            <w:r w:rsidRPr="00724160">
              <w:rPr>
                <w:rFonts w:ascii="Times New Roman" w:eastAsia="Times New Roman" w:hAnsi="Times New Roman" w:cs="Times New Roman"/>
                <w:b/>
                <w:bCs/>
                <w:sz w:val="20"/>
                <w:szCs w:val="20"/>
                <w:lang w:eastAsia="pt-BR"/>
              </w:rPr>
              <w:t>Despesas totais</w:t>
            </w:r>
          </w:p>
          <w:p w14:paraId="3D24104A" w14:textId="14EC8738" w:rsidR="007F6B72" w:rsidRPr="00724160" w:rsidRDefault="007F6B72" w:rsidP="007F6B72">
            <w:pPr>
              <w:ind w:right="119" w:firstLine="0"/>
              <w:jc w:val="center"/>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b/>
                <w:bCs/>
                <w:sz w:val="20"/>
                <w:szCs w:val="20"/>
                <w:lang w:eastAsia="pt-BR"/>
              </w:rPr>
              <w:t>(Despesas empenhadas)</w:t>
            </w:r>
          </w:p>
        </w:tc>
        <w:tc>
          <w:tcPr>
            <w:tcW w:w="1984" w:type="dxa"/>
            <w:shd w:val="clear" w:color="auto" w:fill="D9D9D9" w:themeFill="background1" w:themeFillShade="D9"/>
            <w:vAlign w:val="center"/>
          </w:tcPr>
          <w:p w14:paraId="2B91CA9D" w14:textId="3C6D9211" w:rsidR="007F6B72" w:rsidRPr="00724160" w:rsidRDefault="007F6B72" w:rsidP="007F6B72">
            <w:pPr>
              <w:ind w:right="119" w:firstLine="0"/>
              <w:jc w:val="center"/>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b/>
                <w:bCs/>
                <w:sz w:val="20"/>
                <w:szCs w:val="20"/>
                <w:lang w:eastAsia="pt-BR"/>
              </w:rPr>
              <w:t>JULHO/2025</w:t>
            </w:r>
          </w:p>
        </w:tc>
      </w:tr>
      <w:tr w:rsidR="007F6B72" w:rsidRPr="00724160" w14:paraId="084BBBEE" w14:textId="77777777" w:rsidTr="00713094">
        <w:trPr>
          <w:jc w:val="center"/>
        </w:trPr>
        <w:tc>
          <w:tcPr>
            <w:tcW w:w="4536" w:type="dxa"/>
            <w:vMerge/>
            <w:shd w:val="clear" w:color="auto" w:fill="D9D9D9" w:themeFill="background1" w:themeFillShade="D9"/>
            <w:vAlign w:val="center"/>
          </w:tcPr>
          <w:p w14:paraId="69E30CB1" w14:textId="77777777" w:rsidR="007F6B72" w:rsidRPr="00724160" w:rsidRDefault="007F6B72" w:rsidP="007F6B72">
            <w:pPr>
              <w:ind w:right="119" w:firstLine="0"/>
              <w:jc w:val="center"/>
              <w:rPr>
                <w:rFonts w:ascii="Times New Roman" w:eastAsia="Times New Roman" w:hAnsi="Times New Roman" w:cs="Times New Roman"/>
                <w:b/>
                <w:bCs/>
                <w:sz w:val="20"/>
                <w:szCs w:val="20"/>
                <w:lang w:eastAsia="pt-BR"/>
              </w:rPr>
            </w:pPr>
          </w:p>
        </w:tc>
        <w:tc>
          <w:tcPr>
            <w:tcW w:w="2268" w:type="dxa"/>
            <w:vMerge/>
            <w:shd w:val="clear" w:color="auto" w:fill="D9D9D9" w:themeFill="background1" w:themeFillShade="D9"/>
            <w:vAlign w:val="center"/>
          </w:tcPr>
          <w:p w14:paraId="466AE1FB" w14:textId="77777777" w:rsidR="007F6B72" w:rsidRPr="00724160" w:rsidRDefault="007F6B72" w:rsidP="007F6B72">
            <w:pPr>
              <w:ind w:right="119" w:firstLine="0"/>
              <w:jc w:val="center"/>
              <w:rPr>
                <w:rFonts w:ascii="Times New Roman" w:eastAsia="Times New Roman" w:hAnsi="Times New Roman" w:cs="Times New Roman"/>
                <w:b/>
                <w:bCs/>
                <w:sz w:val="20"/>
                <w:szCs w:val="20"/>
                <w:lang w:eastAsia="pt-BR"/>
              </w:rPr>
            </w:pPr>
          </w:p>
        </w:tc>
        <w:tc>
          <w:tcPr>
            <w:tcW w:w="1984" w:type="dxa"/>
            <w:shd w:val="clear" w:color="auto" w:fill="D9D9D9" w:themeFill="background1" w:themeFillShade="D9"/>
            <w:vAlign w:val="center"/>
          </w:tcPr>
          <w:p w14:paraId="0D6C2172" w14:textId="2DE118AF" w:rsidR="007F6B72" w:rsidRPr="00724160" w:rsidRDefault="007F6B72" w:rsidP="00724160">
            <w:pPr>
              <w:ind w:right="119" w:firstLine="0"/>
              <w:jc w:val="right"/>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b/>
                <w:sz w:val="20"/>
                <w:szCs w:val="20"/>
                <w:lang w:eastAsia="pt-BR"/>
              </w:rPr>
              <w:t>4.748.825.695,34</w:t>
            </w:r>
          </w:p>
        </w:tc>
      </w:tr>
      <w:tr w:rsidR="007F6B72" w:rsidRPr="00724160" w14:paraId="7FBFB5C2" w14:textId="77777777" w:rsidTr="00713094">
        <w:trPr>
          <w:jc w:val="center"/>
        </w:trPr>
        <w:tc>
          <w:tcPr>
            <w:tcW w:w="4536" w:type="dxa"/>
          </w:tcPr>
          <w:p w14:paraId="5C753EB3" w14:textId="1E1C301F" w:rsidR="007F6B72" w:rsidRPr="00724160" w:rsidRDefault="007F6B72" w:rsidP="007F6B72">
            <w:pPr>
              <w:ind w:right="119" w:firstLine="0"/>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color w:val="000000"/>
                <w:sz w:val="20"/>
                <w:szCs w:val="20"/>
                <w:lang w:eastAsia="pt-BR"/>
              </w:rPr>
              <w:t>MG – Materialidade global</w:t>
            </w:r>
          </w:p>
        </w:tc>
        <w:tc>
          <w:tcPr>
            <w:tcW w:w="2268" w:type="dxa"/>
          </w:tcPr>
          <w:p w14:paraId="18F33D6F" w14:textId="02A71660" w:rsidR="007F6B72" w:rsidRPr="00724160" w:rsidRDefault="007F6B72" w:rsidP="0059060B">
            <w:pPr>
              <w:ind w:right="119" w:firstLine="0"/>
              <w:jc w:val="center"/>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color w:val="000000"/>
                <w:sz w:val="20"/>
                <w:szCs w:val="20"/>
                <w:lang w:eastAsia="pt-BR"/>
              </w:rPr>
              <w:t>2% do VR</w:t>
            </w:r>
          </w:p>
        </w:tc>
        <w:tc>
          <w:tcPr>
            <w:tcW w:w="1984" w:type="dxa"/>
          </w:tcPr>
          <w:p w14:paraId="46888E16" w14:textId="64D181E3" w:rsidR="007F6B72" w:rsidRPr="00724160" w:rsidRDefault="00724160" w:rsidP="00724160">
            <w:pPr>
              <w:ind w:right="119" w:firstLine="0"/>
              <w:jc w:val="right"/>
              <w:rPr>
                <w:rFonts w:ascii="Times New Roman" w:eastAsia="Times New Roman" w:hAnsi="Times New Roman" w:cs="Times New Roman"/>
                <w:sz w:val="20"/>
                <w:szCs w:val="20"/>
                <w:lang w:eastAsia="pt-BR"/>
              </w:rPr>
            </w:pPr>
            <w:r w:rsidRPr="00724160">
              <w:rPr>
                <w:rFonts w:ascii="Times New Roman" w:eastAsia="Times New Roman" w:hAnsi="Times New Roman" w:cs="Times New Roman"/>
                <w:sz w:val="20"/>
                <w:szCs w:val="20"/>
                <w:lang w:eastAsia="pt-BR"/>
              </w:rPr>
              <w:t>94</w:t>
            </w:r>
            <w:r>
              <w:rPr>
                <w:rFonts w:ascii="Times New Roman" w:eastAsia="Times New Roman" w:hAnsi="Times New Roman" w:cs="Times New Roman"/>
                <w:sz w:val="20"/>
                <w:szCs w:val="20"/>
                <w:lang w:eastAsia="pt-BR"/>
              </w:rPr>
              <w:t>.976.513,91</w:t>
            </w:r>
          </w:p>
        </w:tc>
      </w:tr>
      <w:tr w:rsidR="007F6B72" w:rsidRPr="00724160" w14:paraId="42F47F77" w14:textId="77777777" w:rsidTr="00713094">
        <w:trPr>
          <w:jc w:val="center"/>
        </w:trPr>
        <w:tc>
          <w:tcPr>
            <w:tcW w:w="4536" w:type="dxa"/>
          </w:tcPr>
          <w:p w14:paraId="78ACD686" w14:textId="6E0392FD" w:rsidR="007F6B72" w:rsidRPr="00724160" w:rsidRDefault="007F6B72" w:rsidP="007F6B72">
            <w:pPr>
              <w:ind w:right="119" w:firstLine="0"/>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color w:val="000000"/>
                <w:sz w:val="20"/>
                <w:szCs w:val="20"/>
                <w:lang w:eastAsia="pt-BR"/>
              </w:rPr>
              <w:t>ME – Materialidade para execução</w:t>
            </w:r>
          </w:p>
        </w:tc>
        <w:tc>
          <w:tcPr>
            <w:tcW w:w="2268" w:type="dxa"/>
          </w:tcPr>
          <w:p w14:paraId="19AEC70C" w14:textId="54A76D9C" w:rsidR="007F6B72" w:rsidRPr="00724160" w:rsidRDefault="007F6B72" w:rsidP="0059060B">
            <w:pPr>
              <w:ind w:right="119" w:firstLine="0"/>
              <w:jc w:val="center"/>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color w:val="000000"/>
                <w:sz w:val="20"/>
                <w:szCs w:val="20"/>
                <w:lang w:eastAsia="pt-BR"/>
              </w:rPr>
              <w:t>50% da MG</w:t>
            </w:r>
          </w:p>
        </w:tc>
        <w:tc>
          <w:tcPr>
            <w:tcW w:w="1984" w:type="dxa"/>
          </w:tcPr>
          <w:p w14:paraId="6116CE48" w14:textId="2E364CEB" w:rsidR="007F6B72" w:rsidRPr="00724160" w:rsidRDefault="002151A2" w:rsidP="00724160">
            <w:pPr>
              <w:ind w:right="119" w:firstLine="0"/>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47.488.256,95</w:t>
            </w:r>
          </w:p>
        </w:tc>
      </w:tr>
      <w:tr w:rsidR="007F6B72" w:rsidRPr="00724160" w14:paraId="323EEAD2" w14:textId="77777777" w:rsidTr="00713094">
        <w:trPr>
          <w:jc w:val="center"/>
        </w:trPr>
        <w:tc>
          <w:tcPr>
            <w:tcW w:w="4536" w:type="dxa"/>
          </w:tcPr>
          <w:p w14:paraId="38CAD3DE" w14:textId="6F0EDE30" w:rsidR="007F6B72" w:rsidRPr="00724160" w:rsidRDefault="007F6B72" w:rsidP="007F6B72">
            <w:pPr>
              <w:ind w:right="119" w:firstLine="0"/>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color w:val="000000"/>
                <w:sz w:val="20"/>
                <w:szCs w:val="20"/>
                <w:lang w:eastAsia="pt-BR"/>
              </w:rPr>
              <w:t>LAD – Limite para acumulação de distorções</w:t>
            </w:r>
          </w:p>
        </w:tc>
        <w:tc>
          <w:tcPr>
            <w:tcW w:w="2268" w:type="dxa"/>
          </w:tcPr>
          <w:p w14:paraId="582ECB1B" w14:textId="72A2C19B" w:rsidR="007F6B72" w:rsidRPr="00724160" w:rsidRDefault="007F6B72" w:rsidP="0059060B">
            <w:pPr>
              <w:ind w:right="119" w:firstLine="0"/>
              <w:jc w:val="center"/>
              <w:rPr>
                <w:rFonts w:ascii="Times New Roman" w:eastAsia="Times New Roman" w:hAnsi="Times New Roman" w:cs="Times New Roman"/>
                <w:b/>
                <w:bCs/>
                <w:sz w:val="20"/>
                <w:szCs w:val="20"/>
                <w:lang w:eastAsia="pt-BR"/>
              </w:rPr>
            </w:pPr>
            <w:r w:rsidRPr="00724160">
              <w:rPr>
                <w:rFonts w:ascii="Times New Roman" w:eastAsia="Times New Roman" w:hAnsi="Times New Roman" w:cs="Times New Roman"/>
                <w:color w:val="000000"/>
                <w:sz w:val="20"/>
                <w:szCs w:val="20"/>
                <w:lang w:eastAsia="pt-BR"/>
              </w:rPr>
              <w:t>5% da MG</w:t>
            </w:r>
          </w:p>
        </w:tc>
        <w:tc>
          <w:tcPr>
            <w:tcW w:w="1984" w:type="dxa"/>
          </w:tcPr>
          <w:p w14:paraId="1632B463" w14:textId="750DDFB8" w:rsidR="007F6B72" w:rsidRPr="00724160" w:rsidRDefault="002151A2" w:rsidP="00724160">
            <w:pPr>
              <w:ind w:right="119" w:firstLine="0"/>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4.748.825,70</w:t>
            </w:r>
          </w:p>
        </w:tc>
      </w:tr>
    </w:tbl>
    <w:p w14:paraId="61ACC9A3" w14:textId="63BC6152" w:rsidR="001765CE" w:rsidRPr="001765CE" w:rsidRDefault="00A61C3A" w:rsidP="00971DE1">
      <w:pPr>
        <w:ind w:left="708" w:right="120" w:firstLine="0"/>
        <w:jc w:val="both"/>
        <w:rPr>
          <w:rFonts w:ascii="Times New Roman" w:eastAsia="Times New Roman" w:hAnsi="Times New Roman" w:cs="Times New Roman"/>
          <w:color w:val="000000"/>
          <w:sz w:val="20"/>
          <w:szCs w:val="20"/>
          <w:lang w:eastAsia="pt-BR"/>
        </w:rPr>
      </w:pPr>
      <w:r w:rsidRPr="00132AF6">
        <w:rPr>
          <w:rFonts w:ascii="Times New Roman" w:eastAsia="Times New Roman" w:hAnsi="Times New Roman" w:cs="Times New Roman"/>
          <w:color w:val="000000"/>
          <w:sz w:val="20"/>
          <w:szCs w:val="20"/>
          <w:lang w:eastAsia="pt-BR"/>
        </w:rPr>
        <w:t>Fonte: Elaboração pela equipe de auditoria, com base nas Despesas empenhadas a</w:t>
      </w:r>
      <w:r w:rsidR="00B91CD0">
        <w:rPr>
          <w:rFonts w:ascii="Times New Roman" w:eastAsia="Times New Roman" w:hAnsi="Times New Roman" w:cs="Times New Roman"/>
          <w:color w:val="000000"/>
          <w:sz w:val="20"/>
          <w:szCs w:val="20"/>
          <w:lang w:eastAsia="pt-BR"/>
        </w:rPr>
        <w:t>té julho/202</w:t>
      </w:r>
      <w:r w:rsidR="001765CE">
        <w:rPr>
          <w:rFonts w:ascii="Times New Roman" w:eastAsia="Times New Roman" w:hAnsi="Times New Roman" w:cs="Times New Roman"/>
          <w:color w:val="000000"/>
          <w:sz w:val="20"/>
          <w:szCs w:val="20"/>
          <w:lang w:eastAsia="pt-BR"/>
        </w:rPr>
        <w:t>5</w:t>
      </w:r>
    </w:p>
    <w:p w14:paraId="0978612F" w14:textId="77777777" w:rsidR="009B1D2F" w:rsidRDefault="009B1D2F" w:rsidP="009B1D2F">
      <w:pPr>
        <w:ind w:right="119"/>
        <w:jc w:val="both"/>
        <w:rPr>
          <w:rFonts w:ascii="Times New Roman" w:eastAsia="Times New Roman" w:hAnsi="Times New Roman" w:cs="Times New Roman"/>
          <w:color w:val="000000"/>
          <w:sz w:val="24"/>
          <w:szCs w:val="24"/>
          <w:lang w:eastAsia="pt-BR"/>
        </w:rPr>
      </w:pPr>
    </w:p>
    <w:p w14:paraId="50D472CF" w14:textId="2BDDC276" w:rsidR="0055317B" w:rsidRDefault="00A61C3A" w:rsidP="0055317B">
      <w:pPr>
        <w:spacing w:before="240"/>
        <w:ind w:right="119"/>
        <w:jc w:val="both"/>
        <w:rPr>
          <w:rFonts w:ascii="Times New Roman" w:eastAsia="Times New Roman" w:hAnsi="Times New Roman" w:cs="Times New Roman"/>
          <w:color w:val="000000"/>
          <w:sz w:val="24"/>
          <w:szCs w:val="24"/>
          <w:lang w:eastAsia="pt-BR"/>
        </w:rPr>
      </w:pPr>
      <w:r w:rsidRPr="00EB5BF1">
        <w:rPr>
          <w:rFonts w:ascii="Times New Roman" w:eastAsia="Times New Roman" w:hAnsi="Times New Roman" w:cs="Times New Roman"/>
          <w:color w:val="000000"/>
          <w:sz w:val="24"/>
          <w:szCs w:val="24"/>
          <w:lang w:eastAsia="pt-BR"/>
        </w:rPr>
        <w:t xml:space="preserve">Assim, a MG de </w:t>
      </w:r>
      <w:r w:rsidRPr="00551522">
        <w:rPr>
          <w:rFonts w:ascii="Times New Roman" w:eastAsia="Times New Roman" w:hAnsi="Times New Roman" w:cs="Times New Roman"/>
          <w:b/>
          <w:bCs/>
          <w:sz w:val="24"/>
          <w:szCs w:val="24"/>
          <w:lang w:eastAsia="pt-BR"/>
        </w:rPr>
        <w:t>R$ </w:t>
      </w:r>
      <w:r w:rsidR="00551522" w:rsidRPr="00551522">
        <w:rPr>
          <w:rFonts w:ascii="Times New Roman" w:eastAsia="Times New Roman" w:hAnsi="Times New Roman" w:cs="Times New Roman"/>
          <w:b/>
          <w:bCs/>
          <w:sz w:val="24"/>
          <w:szCs w:val="24"/>
          <w:lang w:eastAsia="pt-BR"/>
        </w:rPr>
        <w:t>94.976.513,91</w:t>
      </w:r>
      <w:r w:rsidR="00551522" w:rsidRPr="00EB5BF1">
        <w:rPr>
          <w:rFonts w:ascii="Times New Roman" w:eastAsia="Times New Roman" w:hAnsi="Times New Roman" w:cs="Times New Roman"/>
          <w:sz w:val="24"/>
          <w:szCs w:val="24"/>
          <w:lang w:eastAsia="pt-BR"/>
        </w:rPr>
        <w:t xml:space="preserve"> </w:t>
      </w:r>
      <w:r w:rsidRPr="00EB5BF1">
        <w:rPr>
          <w:rFonts w:ascii="Times New Roman" w:eastAsia="Times New Roman" w:hAnsi="Times New Roman" w:cs="Times New Roman"/>
          <w:sz w:val="24"/>
          <w:szCs w:val="24"/>
          <w:lang w:eastAsia="pt-BR"/>
        </w:rPr>
        <w:t>(</w:t>
      </w:r>
      <w:r w:rsidR="00551522">
        <w:rPr>
          <w:rFonts w:ascii="Times New Roman" w:eastAsia="Times New Roman" w:hAnsi="Times New Roman" w:cs="Times New Roman"/>
          <w:sz w:val="24"/>
          <w:szCs w:val="24"/>
          <w:lang w:eastAsia="pt-BR"/>
        </w:rPr>
        <w:t>noventa e quatro</w:t>
      </w:r>
      <w:r w:rsidR="00217E87">
        <w:rPr>
          <w:rFonts w:ascii="Times New Roman" w:eastAsia="Times New Roman" w:hAnsi="Times New Roman" w:cs="Times New Roman"/>
          <w:sz w:val="24"/>
          <w:szCs w:val="24"/>
          <w:lang w:eastAsia="pt-BR"/>
        </w:rPr>
        <w:t xml:space="preserve"> milhões </w:t>
      </w:r>
      <w:r w:rsidR="00551522">
        <w:rPr>
          <w:rFonts w:ascii="Times New Roman" w:eastAsia="Times New Roman" w:hAnsi="Times New Roman" w:cs="Times New Roman"/>
          <w:sz w:val="24"/>
          <w:szCs w:val="24"/>
          <w:lang w:eastAsia="pt-BR"/>
        </w:rPr>
        <w:t xml:space="preserve">novecentos e setenta e seis </w:t>
      </w:r>
      <w:r w:rsidR="00217E87">
        <w:rPr>
          <w:rFonts w:ascii="Times New Roman" w:eastAsia="Times New Roman" w:hAnsi="Times New Roman" w:cs="Times New Roman"/>
          <w:sz w:val="24"/>
          <w:szCs w:val="24"/>
          <w:lang w:eastAsia="pt-BR"/>
        </w:rPr>
        <w:t xml:space="preserve">mil </w:t>
      </w:r>
      <w:r w:rsidR="00551522">
        <w:rPr>
          <w:rFonts w:ascii="Times New Roman" w:eastAsia="Times New Roman" w:hAnsi="Times New Roman" w:cs="Times New Roman"/>
          <w:sz w:val="24"/>
          <w:szCs w:val="24"/>
          <w:lang w:eastAsia="pt-BR"/>
        </w:rPr>
        <w:t xml:space="preserve">quinhentos e treze </w:t>
      </w:r>
      <w:r w:rsidR="00217E87">
        <w:rPr>
          <w:rFonts w:ascii="Times New Roman" w:eastAsia="Times New Roman" w:hAnsi="Times New Roman" w:cs="Times New Roman"/>
          <w:sz w:val="24"/>
          <w:szCs w:val="24"/>
          <w:lang w:eastAsia="pt-BR"/>
        </w:rPr>
        <w:t xml:space="preserve">reais e </w:t>
      </w:r>
      <w:r w:rsidR="00551522">
        <w:rPr>
          <w:rFonts w:ascii="Times New Roman" w:eastAsia="Times New Roman" w:hAnsi="Times New Roman" w:cs="Times New Roman"/>
          <w:sz w:val="24"/>
          <w:szCs w:val="24"/>
          <w:lang w:eastAsia="pt-BR"/>
        </w:rPr>
        <w:t>noventa e um</w:t>
      </w:r>
      <w:r w:rsidR="00217E87">
        <w:rPr>
          <w:rFonts w:ascii="Times New Roman" w:eastAsia="Times New Roman" w:hAnsi="Times New Roman" w:cs="Times New Roman"/>
          <w:sz w:val="24"/>
          <w:szCs w:val="24"/>
          <w:lang w:eastAsia="pt-BR"/>
        </w:rPr>
        <w:t xml:space="preserve"> centavos</w:t>
      </w:r>
      <w:r w:rsidR="00E81AD8" w:rsidRPr="00EB5BF1">
        <w:rPr>
          <w:rFonts w:ascii="Times New Roman" w:eastAsia="Times New Roman" w:hAnsi="Times New Roman" w:cs="Times New Roman"/>
          <w:sz w:val="24"/>
          <w:szCs w:val="24"/>
          <w:lang w:eastAsia="pt-BR"/>
        </w:rPr>
        <w:t>)</w:t>
      </w:r>
      <w:r w:rsidR="00E81AD8" w:rsidRPr="00EB5BF1">
        <w:rPr>
          <w:rFonts w:ascii="Times New Roman" w:eastAsia="Times New Roman" w:hAnsi="Times New Roman" w:cs="Times New Roman"/>
          <w:b/>
          <w:bCs/>
          <w:color w:val="000000"/>
          <w:sz w:val="24"/>
          <w:szCs w:val="24"/>
          <w:lang w:eastAsia="pt-BR"/>
        </w:rPr>
        <w:t> </w:t>
      </w:r>
      <w:r w:rsidR="00E81AD8" w:rsidRPr="00EB5BF1">
        <w:rPr>
          <w:rFonts w:ascii="Times New Roman" w:eastAsia="Times New Roman" w:hAnsi="Times New Roman" w:cs="Times New Roman"/>
          <w:color w:val="000000"/>
          <w:sz w:val="24"/>
          <w:szCs w:val="24"/>
          <w:lang w:eastAsia="pt-BR"/>
        </w:rPr>
        <w:t>foi</w:t>
      </w:r>
      <w:r w:rsidRPr="00EB5BF1">
        <w:rPr>
          <w:rFonts w:ascii="Times New Roman" w:eastAsia="Times New Roman" w:hAnsi="Times New Roman" w:cs="Times New Roman"/>
          <w:color w:val="000000"/>
          <w:sz w:val="24"/>
          <w:szCs w:val="24"/>
          <w:lang w:eastAsia="pt-BR"/>
        </w:rPr>
        <w:t xml:space="preserve"> o parâmetro quantitativo considerado quando da avaliação dos efeitos das distorções não corrigidas, individualmente ou em conjunto, para extrair as conclusões em que se fundamenta a opinião d</w:t>
      </w:r>
      <w:r w:rsidR="0006585B">
        <w:rPr>
          <w:rFonts w:ascii="Times New Roman" w:eastAsia="Times New Roman" w:hAnsi="Times New Roman" w:cs="Times New Roman"/>
          <w:color w:val="000000"/>
          <w:sz w:val="24"/>
          <w:szCs w:val="24"/>
          <w:lang w:eastAsia="pt-BR"/>
        </w:rPr>
        <w:t>a</w:t>
      </w:r>
      <w:r w:rsidRPr="00EB5BF1">
        <w:rPr>
          <w:rFonts w:ascii="Times New Roman" w:eastAsia="Times New Roman" w:hAnsi="Times New Roman" w:cs="Times New Roman"/>
          <w:color w:val="000000"/>
          <w:sz w:val="24"/>
          <w:szCs w:val="24"/>
          <w:lang w:eastAsia="pt-BR"/>
        </w:rPr>
        <w:t xml:space="preserve"> auditoria.</w:t>
      </w:r>
    </w:p>
    <w:p w14:paraId="2DC91B5B" w14:textId="03451AFA" w:rsidR="0055317B" w:rsidRPr="0055317B" w:rsidRDefault="0055317B" w:rsidP="0055317B">
      <w:pPr>
        <w:spacing w:before="240"/>
        <w:ind w:right="119"/>
        <w:jc w:val="both"/>
        <w:rPr>
          <w:rFonts w:ascii="Times New Roman" w:eastAsia="Times New Roman" w:hAnsi="Times New Roman" w:cs="Times New Roman"/>
          <w:color w:val="000000"/>
          <w:sz w:val="24"/>
          <w:szCs w:val="24"/>
          <w:lang w:eastAsia="pt-BR"/>
        </w:rPr>
      </w:pPr>
      <w:r w:rsidRPr="0055317B">
        <w:rPr>
          <w:rFonts w:ascii="Times New Roman" w:eastAsia="Times New Roman" w:hAnsi="Times New Roman" w:cs="Times New Roman"/>
          <w:color w:val="000000"/>
          <w:sz w:val="24"/>
          <w:szCs w:val="24"/>
          <w:lang w:eastAsia="pt-BR"/>
        </w:rPr>
        <w:t>Cabe ressaltar que, do total das despesas empenhadas pelas unidades gestoras do TRF6 até julho/2025</w:t>
      </w:r>
      <w:r w:rsidR="00490A82">
        <w:rPr>
          <w:rFonts w:ascii="Times New Roman" w:eastAsia="Times New Roman" w:hAnsi="Times New Roman" w:cs="Times New Roman"/>
          <w:color w:val="000000"/>
          <w:sz w:val="24"/>
          <w:szCs w:val="24"/>
          <w:lang w:eastAsia="pt-BR"/>
        </w:rPr>
        <w:t xml:space="preserve">, </w:t>
      </w:r>
      <w:r w:rsidRPr="0055317B">
        <w:rPr>
          <w:rFonts w:ascii="Times New Roman" w:eastAsia="Times New Roman" w:hAnsi="Times New Roman" w:cs="Times New Roman"/>
          <w:color w:val="000000"/>
          <w:sz w:val="24"/>
          <w:szCs w:val="24"/>
          <w:lang w:eastAsia="pt-BR"/>
        </w:rPr>
        <w:t xml:space="preserve">76,53% — correspondentes a </w:t>
      </w:r>
      <w:r w:rsidRPr="0055317B">
        <w:rPr>
          <w:rFonts w:ascii="Times New Roman" w:eastAsia="Times New Roman" w:hAnsi="Times New Roman" w:cs="Times New Roman"/>
          <w:b/>
          <w:bCs/>
          <w:color w:val="000000"/>
          <w:sz w:val="24"/>
          <w:szCs w:val="24"/>
          <w:lang w:eastAsia="pt-BR"/>
        </w:rPr>
        <w:t>R$ 3.634.240.878,39</w:t>
      </w:r>
      <w:r w:rsidRPr="0055317B">
        <w:rPr>
          <w:rFonts w:ascii="Times New Roman" w:eastAsia="Times New Roman" w:hAnsi="Times New Roman" w:cs="Times New Roman"/>
          <w:color w:val="000000"/>
          <w:sz w:val="24"/>
          <w:szCs w:val="24"/>
          <w:lang w:eastAsia="pt-BR"/>
        </w:rPr>
        <w:t xml:space="preserve"> — foram direcionados à UG 090060, vinculada ao Programa de Governo 0901 – Operações Especiais: Cumprimento de Sentenças Judiciais, para pagamento de precatórios</w:t>
      </w:r>
      <w:r>
        <w:rPr>
          <w:rFonts w:ascii="Times New Roman" w:eastAsia="Times New Roman" w:hAnsi="Times New Roman" w:cs="Times New Roman"/>
          <w:color w:val="000000"/>
          <w:sz w:val="24"/>
          <w:szCs w:val="24"/>
          <w:lang w:eastAsia="pt-BR"/>
        </w:rPr>
        <w:t xml:space="preserve"> e RPVs</w:t>
      </w:r>
      <w:r w:rsidRPr="0055317B">
        <w:rPr>
          <w:rFonts w:ascii="Times New Roman" w:eastAsia="Times New Roman" w:hAnsi="Times New Roman" w:cs="Times New Roman"/>
          <w:color w:val="000000"/>
          <w:sz w:val="24"/>
          <w:szCs w:val="24"/>
          <w:lang w:eastAsia="pt-BR"/>
        </w:rPr>
        <w:t xml:space="preserve">. Por sua vez, 23,47% — equivalentes a </w:t>
      </w:r>
      <w:r w:rsidRPr="0055317B">
        <w:rPr>
          <w:rFonts w:ascii="Times New Roman" w:eastAsia="Times New Roman" w:hAnsi="Times New Roman" w:cs="Times New Roman"/>
          <w:b/>
          <w:bCs/>
          <w:color w:val="000000"/>
          <w:sz w:val="24"/>
          <w:szCs w:val="24"/>
          <w:lang w:eastAsia="pt-BR"/>
        </w:rPr>
        <w:t>R$ 1.114.584.816,95</w:t>
      </w:r>
      <w:r w:rsidRPr="0055317B">
        <w:rPr>
          <w:rFonts w:ascii="Times New Roman" w:eastAsia="Times New Roman" w:hAnsi="Times New Roman" w:cs="Times New Roman"/>
          <w:color w:val="000000"/>
          <w:sz w:val="24"/>
          <w:szCs w:val="24"/>
          <w:lang w:eastAsia="pt-BR"/>
        </w:rPr>
        <w:t xml:space="preserve"> — referem-se às despesas que contribuem, direta ou indiretamente, para o exercício da prestação jurisdicional no âmbito da 6ª Região.</w:t>
      </w:r>
    </w:p>
    <w:p w14:paraId="2799910D" w14:textId="18054663" w:rsidR="006125D1" w:rsidRDefault="00267C37" w:rsidP="0055317B">
      <w:pPr>
        <w:spacing w:before="240"/>
        <w:ind w:right="11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Diante </w:t>
      </w:r>
      <w:r w:rsidR="007953F2">
        <w:rPr>
          <w:rFonts w:ascii="Times New Roman" w:eastAsia="Times New Roman" w:hAnsi="Times New Roman" w:cs="Times New Roman"/>
          <w:color w:val="000000"/>
          <w:sz w:val="24"/>
          <w:szCs w:val="24"/>
          <w:lang w:eastAsia="pt-BR"/>
        </w:rPr>
        <w:t xml:space="preserve">da elevada concentração da execução orçamentária em despesas vinculadas ao pagamento de precatórios e RPVs, </w:t>
      </w:r>
      <w:r>
        <w:rPr>
          <w:rFonts w:ascii="Times New Roman" w:eastAsia="Times New Roman" w:hAnsi="Times New Roman" w:cs="Times New Roman"/>
          <w:color w:val="000000"/>
          <w:sz w:val="24"/>
          <w:szCs w:val="24"/>
          <w:lang w:eastAsia="pt-BR"/>
        </w:rPr>
        <w:t xml:space="preserve">avaliou-se a conveniência de realizar análise segregada das despesas, </w:t>
      </w:r>
      <w:r w:rsidR="007953F2">
        <w:rPr>
          <w:rFonts w:ascii="Times New Roman" w:eastAsia="Times New Roman" w:hAnsi="Times New Roman" w:cs="Times New Roman"/>
          <w:color w:val="000000"/>
          <w:sz w:val="24"/>
          <w:szCs w:val="24"/>
          <w:lang w:eastAsia="pt-BR"/>
        </w:rPr>
        <w:t>considerando-se separadamente os valores executados pela UG 090060 (Precatórios). Todavia, optou-se por não estabelecer</w:t>
      </w:r>
      <w:r w:rsidR="00A61C3A" w:rsidRPr="00EB5BF1">
        <w:rPr>
          <w:rFonts w:ascii="Times New Roman" w:eastAsia="Times New Roman" w:hAnsi="Times New Roman" w:cs="Times New Roman"/>
          <w:color w:val="000000"/>
          <w:sz w:val="24"/>
          <w:szCs w:val="24"/>
          <w:lang w:eastAsia="pt-BR"/>
        </w:rPr>
        <w:t xml:space="preserve"> níveis de materialidade inferiores à MG para classes específicas de transações, saldos contábeis e divulgações, </w:t>
      </w:r>
      <w:r w:rsidR="007953F2">
        <w:rPr>
          <w:rFonts w:ascii="Times New Roman" w:eastAsia="Times New Roman" w:hAnsi="Times New Roman" w:cs="Times New Roman"/>
          <w:color w:val="000000"/>
          <w:sz w:val="24"/>
          <w:szCs w:val="24"/>
          <w:lang w:eastAsia="pt-BR"/>
        </w:rPr>
        <w:t>mantendo-se a materialidade global calculada com base no total das despesas empenhadas.</w:t>
      </w:r>
      <w:r w:rsidR="0055317B" w:rsidRPr="0055317B">
        <w:rPr>
          <w:rFonts w:ascii="Times New Roman" w:eastAsia="Times New Roman" w:hAnsi="Times New Roman" w:cs="Times New Roman"/>
          <w:color w:val="000000"/>
          <w:sz w:val="24"/>
          <w:szCs w:val="24"/>
          <w:lang w:eastAsia="pt-BR"/>
        </w:rPr>
        <w:t xml:space="preserve"> </w:t>
      </w:r>
    </w:p>
    <w:p w14:paraId="3123FBF3" w14:textId="44D791B2" w:rsidR="00A17C70" w:rsidRDefault="007953F2" w:rsidP="007953F2">
      <w:pPr>
        <w:spacing w:before="240"/>
        <w:ind w:right="120" w:firstLine="708"/>
        <w:jc w:val="both"/>
        <w:rPr>
          <w:rFonts w:ascii="Times New Roman" w:eastAsia="Times New Roman" w:hAnsi="Times New Roman" w:cs="Times New Roman"/>
          <w:color w:val="000000"/>
          <w:sz w:val="24"/>
          <w:szCs w:val="24"/>
          <w:lang w:eastAsia="pt-BR"/>
        </w:rPr>
      </w:pPr>
      <w:r w:rsidRPr="007953F2">
        <w:rPr>
          <w:rFonts w:ascii="Times New Roman" w:eastAsia="Times New Roman" w:hAnsi="Times New Roman" w:cs="Times New Roman"/>
          <w:color w:val="000000"/>
          <w:sz w:val="24"/>
          <w:szCs w:val="24"/>
          <w:lang w:eastAsia="pt-BR"/>
        </w:rPr>
        <w:t>Ainda assim, a equipe de auditoria considerou o risco de que a elevada representatividade dos precatórios pudesse reduzir a percepção de distorções relevantes nas demais unidades gestoras, aspecto considerado na definição da natureza, época e extensão dos procedimentos de auditoria.</w:t>
      </w:r>
    </w:p>
    <w:p w14:paraId="207AE33E" w14:textId="584D863F" w:rsidR="001F2898" w:rsidRPr="000A0127" w:rsidRDefault="00A61C3A" w:rsidP="00010A1F">
      <w:pPr>
        <w:spacing w:before="240"/>
        <w:ind w:right="120" w:firstLine="708"/>
        <w:jc w:val="both"/>
        <w:rPr>
          <w:rFonts w:ascii="Times New Roman" w:eastAsia="Times New Roman" w:hAnsi="Times New Roman" w:cs="Times New Roman"/>
          <w:sz w:val="24"/>
          <w:szCs w:val="24"/>
          <w:lang w:eastAsia="pt-BR"/>
        </w:rPr>
      </w:pPr>
      <w:r w:rsidRPr="00EB5BF1">
        <w:rPr>
          <w:rFonts w:ascii="Times New Roman" w:eastAsia="Times New Roman" w:hAnsi="Times New Roman" w:cs="Times New Roman"/>
          <w:color w:val="000000"/>
          <w:sz w:val="24"/>
          <w:szCs w:val="24"/>
          <w:lang w:eastAsia="pt-BR"/>
        </w:rPr>
        <w:lastRenderedPageBreak/>
        <w:t xml:space="preserve">A ME para execução dos testes de auditoria (distorção tolerável) foi estabelecida em </w:t>
      </w:r>
      <w:r w:rsidRPr="00EB5BF1">
        <w:rPr>
          <w:rFonts w:ascii="Times New Roman" w:eastAsia="Times New Roman" w:hAnsi="Times New Roman" w:cs="Times New Roman"/>
          <w:b/>
          <w:bCs/>
          <w:color w:val="000000"/>
          <w:sz w:val="24"/>
          <w:szCs w:val="24"/>
          <w:lang w:eastAsia="pt-BR"/>
        </w:rPr>
        <w:t xml:space="preserve">50% </w:t>
      </w:r>
      <w:r w:rsidRPr="00EB5BF1">
        <w:rPr>
          <w:rFonts w:ascii="Times New Roman" w:eastAsia="Times New Roman" w:hAnsi="Times New Roman" w:cs="Times New Roman"/>
          <w:color w:val="000000"/>
          <w:sz w:val="24"/>
          <w:szCs w:val="24"/>
          <w:lang w:eastAsia="pt-BR"/>
        </w:rPr>
        <w:t>da MG. Esse percentual geralmente varia entre 50% e 75</w:t>
      </w:r>
      <w:r w:rsidR="00AA0461" w:rsidRPr="00EB5BF1">
        <w:rPr>
          <w:rFonts w:ascii="Times New Roman" w:eastAsia="Times New Roman" w:hAnsi="Times New Roman" w:cs="Times New Roman"/>
          <w:color w:val="000000"/>
          <w:sz w:val="24"/>
          <w:szCs w:val="24"/>
          <w:lang w:eastAsia="pt-BR"/>
        </w:rPr>
        <w:t>%.</w:t>
      </w:r>
      <w:r w:rsidRPr="00EB5BF1">
        <w:rPr>
          <w:rFonts w:ascii="Times New Roman" w:eastAsia="Times New Roman" w:hAnsi="Times New Roman" w:cs="Times New Roman"/>
          <w:color w:val="000000"/>
          <w:sz w:val="24"/>
          <w:szCs w:val="24"/>
          <w:lang w:eastAsia="pt-BR"/>
        </w:rPr>
        <w:t xml:space="preserve"> A equipe de auditoria adotou o percentual de 50% (cinquenta por cento), </w:t>
      </w:r>
      <w:r w:rsidR="007C0AFD">
        <w:rPr>
          <w:rFonts w:ascii="Times New Roman" w:eastAsia="Times New Roman" w:hAnsi="Times New Roman" w:cs="Times New Roman"/>
          <w:color w:val="000000"/>
          <w:sz w:val="24"/>
          <w:szCs w:val="24"/>
          <w:lang w:eastAsia="pt-BR"/>
        </w:rPr>
        <w:t xml:space="preserve">em face das orientações contidas no artigo 22, inciso II </w:t>
      </w:r>
      <w:r w:rsidR="007C0AFD" w:rsidRPr="000A0127">
        <w:rPr>
          <w:rFonts w:ascii="Times New Roman" w:eastAsia="Times New Roman" w:hAnsi="Times New Roman" w:cs="Times New Roman"/>
          <w:color w:val="000000"/>
          <w:sz w:val="24"/>
          <w:szCs w:val="24"/>
          <w:lang w:eastAsia="pt-BR"/>
        </w:rPr>
        <w:t xml:space="preserve">da  </w:t>
      </w:r>
      <w:hyperlink r:id="rId58" w:tgtFrame="_blank" w:history="1">
        <w:r w:rsidR="000A0127" w:rsidRPr="000A0127">
          <w:rPr>
            <w:rStyle w:val="Hyperlink"/>
            <w:rFonts w:ascii="Times New Roman" w:hAnsi="Times New Roman" w:cs="Times New Roman"/>
            <w:sz w:val="24"/>
            <w:szCs w:val="24"/>
          </w:rPr>
          <w:t>Decisão Normativa TCU nº 198/2022</w:t>
        </w:r>
      </w:hyperlink>
      <w:r w:rsidR="007C0AFD" w:rsidRPr="000A0127">
        <w:rPr>
          <w:rFonts w:ascii="Times New Roman" w:hAnsi="Times New Roman" w:cs="Times New Roman"/>
          <w:sz w:val="24"/>
          <w:szCs w:val="24"/>
        </w:rPr>
        <w:t>.</w:t>
      </w:r>
    </w:p>
    <w:p w14:paraId="256C8B41" w14:textId="35ADE3CE" w:rsidR="001F2898" w:rsidRDefault="00A61C3A" w:rsidP="00010A1F">
      <w:pPr>
        <w:spacing w:before="240"/>
        <w:ind w:right="120" w:firstLine="708"/>
        <w:jc w:val="both"/>
        <w:rPr>
          <w:rFonts w:ascii="Times New Roman" w:eastAsia="Times New Roman" w:hAnsi="Times New Roman" w:cs="Times New Roman"/>
          <w:sz w:val="24"/>
          <w:szCs w:val="24"/>
          <w:lang w:eastAsia="pt-BR"/>
        </w:rPr>
      </w:pPr>
      <w:r w:rsidRPr="00EB5BF1">
        <w:rPr>
          <w:rFonts w:ascii="Times New Roman" w:eastAsia="Times New Roman" w:hAnsi="Times New Roman" w:cs="Times New Roman"/>
          <w:color w:val="000000"/>
          <w:sz w:val="24"/>
          <w:szCs w:val="24"/>
          <w:lang w:eastAsia="pt-BR"/>
        </w:rPr>
        <w:t xml:space="preserve">Dessa forma, o valor de </w:t>
      </w:r>
      <w:r w:rsidRPr="00927D47">
        <w:rPr>
          <w:rFonts w:ascii="Times New Roman" w:eastAsia="Times New Roman" w:hAnsi="Times New Roman" w:cs="Times New Roman"/>
          <w:b/>
          <w:bCs/>
          <w:color w:val="000000"/>
          <w:sz w:val="24"/>
          <w:szCs w:val="24"/>
          <w:lang w:eastAsia="pt-BR"/>
        </w:rPr>
        <w:t xml:space="preserve">R$ </w:t>
      </w:r>
      <w:r w:rsidR="00EA6103" w:rsidRPr="00EA6103">
        <w:rPr>
          <w:rFonts w:ascii="Times New Roman" w:eastAsia="Times New Roman" w:hAnsi="Times New Roman" w:cs="Times New Roman"/>
          <w:b/>
          <w:bCs/>
          <w:sz w:val="24"/>
          <w:szCs w:val="24"/>
          <w:lang w:eastAsia="pt-BR"/>
        </w:rPr>
        <w:t>47.488.256,95</w:t>
      </w:r>
      <w:r w:rsidR="00927D47">
        <w:rPr>
          <w:rFonts w:ascii="Times New Roman" w:eastAsia="Times New Roman" w:hAnsi="Times New Roman" w:cs="Times New Roman"/>
          <w:color w:val="000000"/>
          <w:sz w:val="24"/>
          <w:szCs w:val="24"/>
          <w:lang w:eastAsia="pt-BR"/>
        </w:rPr>
        <w:t xml:space="preserve"> </w:t>
      </w:r>
      <w:r w:rsidRPr="00EB5BF1">
        <w:rPr>
          <w:rFonts w:ascii="Times New Roman" w:eastAsia="Times New Roman" w:hAnsi="Times New Roman" w:cs="Times New Roman"/>
          <w:color w:val="000000"/>
          <w:sz w:val="24"/>
          <w:szCs w:val="24"/>
          <w:lang w:eastAsia="pt-BR"/>
        </w:rPr>
        <w:t>(</w:t>
      </w:r>
      <w:r w:rsidR="00927D47">
        <w:rPr>
          <w:rFonts w:ascii="Times New Roman" w:eastAsia="Times New Roman" w:hAnsi="Times New Roman" w:cs="Times New Roman"/>
          <w:color w:val="000000"/>
          <w:sz w:val="24"/>
          <w:szCs w:val="24"/>
          <w:lang w:eastAsia="pt-BR"/>
        </w:rPr>
        <w:t>qu</w:t>
      </w:r>
      <w:r w:rsidR="00EA6103">
        <w:rPr>
          <w:rFonts w:ascii="Times New Roman" w:eastAsia="Times New Roman" w:hAnsi="Times New Roman" w:cs="Times New Roman"/>
          <w:color w:val="000000"/>
          <w:sz w:val="24"/>
          <w:szCs w:val="24"/>
          <w:lang w:eastAsia="pt-BR"/>
        </w:rPr>
        <w:t>arenta e sete</w:t>
      </w:r>
      <w:r w:rsidR="00927D47">
        <w:rPr>
          <w:rFonts w:ascii="Times New Roman" w:eastAsia="Times New Roman" w:hAnsi="Times New Roman" w:cs="Times New Roman"/>
          <w:color w:val="000000"/>
          <w:sz w:val="24"/>
          <w:szCs w:val="24"/>
          <w:lang w:eastAsia="pt-BR"/>
        </w:rPr>
        <w:t xml:space="preserve"> milhões</w:t>
      </w:r>
      <w:r w:rsidR="00EA6103">
        <w:rPr>
          <w:rFonts w:ascii="Times New Roman" w:eastAsia="Times New Roman" w:hAnsi="Times New Roman" w:cs="Times New Roman"/>
          <w:color w:val="000000"/>
          <w:sz w:val="24"/>
          <w:szCs w:val="24"/>
          <w:lang w:eastAsia="pt-BR"/>
        </w:rPr>
        <w:t xml:space="preserve"> quatrocentos e oitenta e oito </w:t>
      </w:r>
      <w:r w:rsidR="00927D47">
        <w:rPr>
          <w:rFonts w:ascii="Times New Roman" w:eastAsia="Times New Roman" w:hAnsi="Times New Roman" w:cs="Times New Roman"/>
          <w:color w:val="000000"/>
          <w:sz w:val="24"/>
          <w:szCs w:val="24"/>
          <w:lang w:eastAsia="pt-BR"/>
        </w:rPr>
        <w:t xml:space="preserve">mil </w:t>
      </w:r>
      <w:r w:rsidR="00EA6103">
        <w:rPr>
          <w:rFonts w:ascii="Times New Roman" w:eastAsia="Times New Roman" w:hAnsi="Times New Roman" w:cs="Times New Roman"/>
          <w:color w:val="000000"/>
          <w:sz w:val="24"/>
          <w:szCs w:val="24"/>
          <w:lang w:eastAsia="pt-BR"/>
        </w:rPr>
        <w:t>duzentos e cinquenta e seis</w:t>
      </w:r>
      <w:r w:rsidR="00927D47">
        <w:rPr>
          <w:rFonts w:ascii="Times New Roman" w:eastAsia="Times New Roman" w:hAnsi="Times New Roman" w:cs="Times New Roman"/>
          <w:color w:val="000000"/>
          <w:sz w:val="24"/>
          <w:szCs w:val="24"/>
          <w:lang w:eastAsia="pt-BR"/>
        </w:rPr>
        <w:t xml:space="preserve"> reais e </w:t>
      </w:r>
      <w:r w:rsidR="00EA6103">
        <w:rPr>
          <w:rFonts w:ascii="Times New Roman" w:eastAsia="Times New Roman" w:hAnsi="Times New Roman" w:cs="Times New Roman"/>
          <w:color w:val="000000"/>
          <w:sz w:val="24"/>
          <w:szCs w:val="24"/>
          <w:lang w:eastAsia="pt-BR"/>
        </w:rPr>
        <w:t>noventa e cinco</w:t>
      </w:r>
      <w:r w:rsidR="00927D47">
        <w:rPr>
          <w:rFonts w:ascii="Times New Roman" w:eastAsia="Times New Roman" w:hAnsi="Times New Roman" w:cs="Times New Roman"/>
          <w:color w:val="000000"/>
          <w:sz w:val="24"/>
          <w:szCs w:val="24"/>
          <w:lang w:eastAsia="pt-BR"/>
        </w:rPr>
        <w:t xml:space="preserve"> centavos</w:t>
      </w:r>
      <w:r w:rsidRPr="00EB5BF1">
        <w:rPr>
          <w:rFonts w:ascii="Times New Roman" w:eastAsia="Times New Roman" w:hAnsi="Times New Roman" w:cs="Times New Roman"/>
          <w:color w:val="000000"/>
          <w:sz w:val="24"/>
          <w:szCs w:val="24"/>
          <w:lang w:eastAsia="pt-BR"/>
        </w:rPr>
        <w:t>)</w:t>
      </w:r>
      <w:r w:rsidRPr="00EB5BF1">
        <w:rPr>
          <w:rFonts w:ascii="Times New Roman" w:eastAsia="Times New Roman" w:hAnsi="Times New Roman" w:cs="Times New Roman"/>
          <w:b/>
          <w:bCs/>
          <w:color w:val="000000"/>
          <w:sz w:val="24"/>
          <w:szCs w:val="24"/>
          <w:lang w:eastAsia="pt-BR"/>
        </w:rPr>
        <w:t> </w:t>
      </w:r>
      <w:r w:rsidRPr="00EB5BF1">
        <w:rPr>
          <w:rFonts w:ascii="Times New Roman" w:eastAsia="Times New Roman" w:hAnsi="Times New Roman" w:cs="Times New Roman"/>
          <w:color w:val="000000"/>
          <w:sz w:val="24"/>
          <w:szCs w:val="24"/>
          <w:lang w:eastAsia="pt-BR"/>
        </w:rPr>
        <w:t>foi o utilizado para determinar a relevância financeira individual das contas e como parâmetro para determinar se os saldos das contas significativas estão relevantemente distorcidos.</w:t>
      </w:r>
    </w:p>
    <w:p w14:paraId="50270C43" w14:textId="5979DCE6" w:rsidR="001F2898" w:rsidRPr="000A0127" w:rsidRDefault="00A61C3A" w:rsidP="00010A1F">
      <w:pPr>
        <w:spacing w:before="240"/>
        <w:ind w:right="120" w:firstLine="708"/>
        <w:jc w:val="both"/>
        <w:rPr>
          <w:rFonts w:ascii="Times New Roman" w:eastAsia="Times New Roman" w:hAnsi="Times New Roman" w:cs="Times New Roman"/>
          <w:sz w:val="24"/>
          <w:szCs w:val="24"/>
          <w:lang w:eastAsia="pt-BR"/>
        </w:rPr>
      </w:pPr>
      <w:r w:rsidRPr="00EB5BF1">
        <w:rPr>
          <w:rFonts w:ascii="Times New Roman" w:eastAsia="Times New Roman" w:hAnsi="Times New Roman" w:cs="Times New Roman"/>
          <w:color w:val="000000"/>
          <w:sz w:val="24"/>
          <w:szCs w:val="24"/>
          <w:lang w:eastAsia="pt-BR"/>
        </w:rPr>
        <w:t>O LAD representa o valor abaixo do qual as distorções de valor</w:t>
      </w:r>
      <w:r w:rsidR="00406447">
        <w:rPr>
          <w:rFonts w:ascii="Times New Roman" w:eastAsia="Times New Roman" w:hAnsi="Times New Roman" w:cs="Times New Roman"/>
          <w:color w:val="000000"/>
          <w:sz w:val="24"/>
          <w:szCs w:val="24"/>
          <w:lang w:eastAsia="pt-BR"/>
        </w:rPr>
        <w:t xml:space="preserve"> </w:t>
      </w:r>
      <w:r w:rsidRPr="00EB5BF1">
        <w:rPr>
          <w:rFonts w:ascii="Times New Roman" w:eastAsia="Times New Roman" w:hAnsi="Times New Roman" w:cs="Times New Roman"/>
          <w:color w:val="000000"/>
          <w:sz w:val="24"/>
          <w:szCs w:val="24"/>
          <w:lang w:eastAsia="pt-BR"/>
        </w:rPr>
        <w:t xml:space="preserve">serão consideradas claramente triviais e, portanto, não serão acumuladas durante a auditoria, desde que, quando julgadas pelos critérios qualitativos de natureza ou circunstâncias, não sejam consideradas claramente triviais. Esse limite foi estabelecido em 5% da MG, resultando no valor de </w:t>
      </w:r>
      <w:r w:rsidRPr="00EB5BF1">
        <w:rPr>
          <w:rFonts w:ascii="Times New Roman" w:eastAsia="Times New Roman" w:hAnsi="Times New Roman" w:cs="Times New Roman"/>
          <w:b/>
          <w:bCs/>
          <w:color w:val="000000"/>
          <w:sz w:val="24"/>
          <w:szCs w:val="24"/>
          <w:lang w:eastAsia="pt-BR"/>
        </w:rPr>
        <w:t xml:space="preserve">R$ </w:t>
      </w:r>
      <w:r w:rsidR="00EA6103" w:rsidRPr="00EA6103">
        <w:rPr>
          <w:rFonts w:ascii="Times New Roman" w:eastAsia="Times New Roman" w:hAnsi="Times New Roman" w:cs="Times New Roman"/>
          <w:b/>
          <w:bCs/>
          <w:sz w:val="24"/>
          <w:szCs w:val="24"/>
          <w:lang w:eastAsia="pt-BR"/>
        </w:rPr>
        <w:t>4.748.825,70</w:t>
      </w:r>
      <w:r w:rsidRPr="00EB5BF1">
        <w:rPr>
          <w:rFonts w:ascii="Times New Roman" w:eastAsia="Times New Roman" w:hAnsi="Times New Roman" w:cs="Times New Roman"/>
          <w:color w:val="000000"/>
          <w:sz w:val="24"/>
          <w:szCs w:val="24"/>
          <w:lang w:eastAsia="pt-BR"/>
        </w:rPr>
        <w:t xml:space="preserve"> (</w:t>
      </w:r>
      <w:r w:rsidR="00EA6103">
        <w:rPr>
          <w:rFonts w:ascii="Times New Roman" w:eastAsia="Times New Roman" w:hAnsi="Times New Roman" w:cs="Times New Roman"/>
          <w:color w:val="000000"/>
          <w:sz w:val="24"/>
          <w:szCs w:val="24"/>
          <w:lang w:eastAsia="pt-BR"/>
        </w:rPr>
        <w:t xml:space="preserve">quatro </w:t>
      </w:r>
      <w:r w:rsidR="00470E43">
        <w:rPr>
          <w:rFonts w:ascii="Times New Roman" w:eastAsia="Times New Roman" w:hAnsi="Times New Roman" w:cs="Times New Roman"/>
          <w:color w:val="000000"/>
          <w:sz w:val="24"/>
          <w:szCs w:val="24"/>
          <w:lang w:eastAsia="pt-BR"/>
        </w:rPr>
        <w:t>milh</w:t>
      </w:r>
      <w:r w:rsidR="00EA6103">
        <w:rPr>
          <w:rFonts w:ascii="Times New Roman" w:eastAsia="Times New Roman" w:hAnsi="Times New Roman" w:cs="Times New Roman"/>
          <w:color w:val="000000"/>
          <w:sz w:val="24"/>
          <w:szCs w:val="24"/>
          <w:lang w:eastAsia="pt-BR"/>
        </w:rPr>
        <w:t xml:space="preserve">ões setecentos e quarenta e oito </w:t>
      </w:r>
      <w:r w:rsidR="00470E43">
        <w:rPr>
          <w:rFonts w:ascii="Times New Roman" w:eastAsia="Times New Roman" w:hAnsi="Times New Roman" w:cs="Times New Roman"/>
          <w:color w:val="000000"/>
          <w:sz w:val="24"/>
          <w:szCs w:val="24"/>
          <w:lang w:eastAsia="pt-BR"/>
        </w:rPr>
        <w:t>mil</w:t>
      </w:r>
      <w:r w:rsidR="00EA6103">
        <w:rPr>
          <w:rFonts w:ascii="Times New Roman" w:eastAsia="Times New Roman" w:hAnsi="Times New Roman" w:cs="Times New Roman"/>
          <w:color w:val="000000"/>
          <w:sz w:val="24"/>
          <w:szCs w:val="24"/>
          <w:lang w:eastAsia="pt-BR"/>
        </w:rPr>
        <w:t xml:space="preserve"> oitocentos e vinte e cinco</w:t>
      </w:r>
      <w:r w:rsidR="00470E43">
        <w:rPr>
          <w:rFonts w:ascii="Times New Roman" w:eastAsia="Times New Roman" w:hAnsi="Times New Roman" w:cs="Times New Roman"/>
          <w:color w:val="000000"/>
          <w:sz w:val="24"/>
          <w:szCs w:val="24"/>
          <w:lang w:eastAsia="pt-BR"/>
        </w:rPr>
        <w:t xml:space="preserve"> reais e setenta centavos</w:t>
      </w:r>
      <w:r w:rsidRPr="00EB5BF1">
        <w:rPr>
          <w:rFonts w:ascii="Times New Roman" w:eastAsia="Times New Roman" w:hAnsi="Times New Roman" w:cs="Times New Roman"/>
          <w:color w:val="000000"/>
          <w:sz w:val="24"/>
          <w:szCs w:val="24"/>
          <w:lang w:eastAsia="pt-BR"/>
        </w:rPr>
        <w:t xml:space="preserve">), em conformidade com o item III, do artigo 22 </w:t>
      </w:r>
      <w:r w:rsidRPr="000A0127">
        <w:rPr>
          <w:rFonts w:ascii="Times New Roman" w:eastAsia="Times New Roman" w:hAnsi="Times New Roman" w:cs="Times New Roman"/>
          <w:color w:val="000000"/>
          <w:sz w:val="24"/>
          <w:szCs w:val="24"/>
          <w:lang w:eastAsia="pt-BR"/>
        </w:rPr>
        <w:t xml:space="preserve">da </w:t>
      </w:r>
      <w:r w:rsidR="00167F1D" w:rsidRPr="000A0127">
        <w:rPr>
          <w:rFonts w:ascii="Times New Roman" w:hAnsi="Times New Roman" w:cs="Times New Roman"/>
          <w:sz w:val="24"/>
          <w:szCs w:val="24"/>
        </w:rPr>
        <w:t> </w:t>
      </w:r>
      <w:hyperlink r:id="rId59" w:tgtFrame="_blank" w:history="1">
        <w:r w:rsidR="000A0127" w:rsidRPr="000A0127">
          <w:rPr>
            <w:rStyle w:val="Hyperlink"/>
            <w:rFonts w:ascii="Times New Roman" w:hAnsi="Times New Roman" w:cs="Times New Roman"/>
            <w:sz w:val="24"/>
            <w:szCs w:val="24"/>
          </w:rPr>
          <w:t>Decisão Normativa TCU nº 198/2022</w:t>
        </w:r>
      </w:hyperlink>
      <w:r w:rsidR="00167F1D" w:rsidRPr="000A0127">
        <w:rPr>
          <w:rFonts w:ascii="Times New Roman" w:hAnsi="Times New Roman" w:cs="Times New Roman"/>
          <w:sz w:val="24"/>
          <w:szCs w:val="24"/>
        </w:rPr>
        <w:t>.</w:t>
      </w:r>
    </w:p>
    <w:p w14:paraId="050E4368" w14:textId="77777777" w:rsidR="001F2898" w:rsidRPr="000A0127" w:rsidRDefault="001F2898" w:rsidP="00010A1F">
      <w:pPr>
        <w:ind w:right="119" w:firstLine="0"/>
        <w:jc w:val="both"/>
        <w:rPr>
          <w:rFonts w:ascii="Times New Roman" w:eastAsia="Times New Roman" w:hAnsi="Times New Roman" w:cs="Times New Roman"/>
          <w:b/>
          <w:bCs/>
          <w:color w:val="000000"/>
          <w:sz w:val="24"/>
          <w:szCs w:val="24"/>
          <w:lang w:eastAsia="pt-BR"/>
        </w:rPr>
      </w:pPr>
    </w:p>
    <w:p w14:paraId="0F3C90D3" w14:textId="77777777" w:rsidR="001F2898" w:rsidRDefault="00A61C3A" w:rsidP="004B1E97">
      <w:pPr>
        <w:spacing w:before="240"/>
        <w:ind w:right="120" w:firstLine="0"/>
        <w:jc w:val="both"/>
        <w:rPr>
          <w:rFonts w:ascii="Times New Roman" w:eastAsia="Times New Roman" w:hAnsi="Times New Roman" w:cs="Times New Roman"/>
          <w:sz w:val="24"/>
          <w:szCs w:val="24"/>
          <w:lang w:eastAsia="pt-BR"/>
        </w:rPr>
      </w:pPr>
      <w:r w:rsidRPr="00167F1D">
        <w:rPr>
          <w:rFonts w:ascii="Times New Roman" w:eastAsia="Times New Roman" w:hAnsi="Times New Roman" w:cs="Times New Roman"/>
          <w:b/>
          <w:bCs/>
          <w:color w:val="000000"/>
          <w:sz w:val="24"/>
          <w:szCs w:val="24"/>
          <w:lang w:eastAsia="pt-BR"/>
        </w:rPr>
        <w:t>b) Materialidade qualitativa</w:t>
      </w:r>
    </w:p>
    <w:p w14:paraId="218CB04B" w14:textId="77777777" w:rsidR="001F2898" w:rsidRDefault="00A61C3A" w:rsidP="00010A1F">
      <w:pPr>
        <w:spacing w:before="240"/>
        <w:ind w:right="120" w:firstLine="708"/>
        <w:jc w:val="both"/>
        <w:rPr>
          <w:rFonts w:ascii="Times New Roman" w:eastAsia="Times New Roman" w:hAnsi="Times New Roman" w:cs="Times New Roman"/>
          <w:sz w:val="24"/>
          <w:szCs w:val="24"/>
          <w:lang w:eastAsia="pt-BR"/>
        </w:rPr>
      </w:pPr>
      <w:r w:rsidRPr="00EB5BF1">
        <w:rPr>
          <w:rFonts w:ascii="Times New Roman" w:eastAsia="Times New Roman" w:hAnsi="Times New Roman" w:cs="Times New Roman"/>
          <w:color w:val="000000"/>
          <w:sz w:val="24"/>
          <w:szCs w:val="24"/>
          <w:lang w:eastAsia="pt-BR"/>
        </w:rPr>
        <w:t>A natureza e as circunstâncias relacionadas a algumas distorções podem levar a equipe de auditoria a avaliá-las como relevantes ainda que estejam abaixo dos limites quantitativos de materialidade definidos para o trabalho. A perspectiva qualitativa da materialidade considera:</w:t>
      </w:r>
    </w:p>
    <w:p w14:paraId="2D53E538" w14:textId="77777777" w:rsidR="001F2898" w:rsidRPr="00304046" w:rsidRDefault="00A61C3A" w:rsidP="004B1E9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304046">
        <w:rPr>
          <w:rFonts w:ascii="Times New Roman" w:eastAsia="Times New Roman" w:hAnsi="Times New Roman" w:cs="Times New Roman"/>
          <w:color w:val="000000"/>
          <w:sz w:val="24"/>
          <w:szCs w:val="24"/>
          <w:lang w:eastAsia="pt-BR"/>
        </w:rPr>
        <w:t>A relevância pela natureza – qualquer suspeita de má gestão grave, fraude, ilegalidade ou irregularidade, distorção intencional ou manipulação de resultados ou informações; e</w:t>
      </w:r>
    </w:p>
    <w:p w14:paraId="068D6320" w14:textId="77777777" w:rsidR="001F2898" w:rsidRPr="00304046" w:rsidRDefault="00A61C3A" w:rsidP="004B1E97">
      <w:pPr>
        <w:pStyle w:val="PargrafodaLista"/>
        <w:numPr>
          <w:ilvl w:val="0"/>
          <w:numId w:val="34"/>
        </w:numPr>
        <w:tabs>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304046">
        <w:rPr>
          <w:rFonts w:ascii="Times New Roman" w:eastAsia="Times New Roman" w:hAnsi="Times New Roman" w:cs="Times New Roman"/>
          <w:color w:val="000000"/>
          <w:sz w:val="24"/>
          <w:szCs w:val="24"/>
          <w:lang w:eastAsia="pt-BR"/>
        </w:rPr>
        <w:t>A relevância pelas circunstâncias – devido ao contexto em que ocorrem, podem mudar a impressão dos usuários previstos e ter um efeito significativo nas suas decisões.</w:t>
      </w:r>
    </w:p>
    <w:p w14:paraId="6ABEF361" w14:textId="70169285" w:rsidR="001F2898" w:rsidRPr="00477C2E" w:rsidRDefault="00732A0B" w:rsidP="00732A0B">
      <w:pPr>
        <w:tabs>
          <w:tab w:val="left" w:pos="709"/>
          <w:tab w:val="left" w:pos="1134"/>
        </w:tabs>
        <w:spacing w:before="240"/>
        <w:ind w:right="120" w:firstLine="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sidR="00A61C3A" w:rsidRPr="00E21287">
        <w:rPr>
          <w:rFonts w:ascii="Times New Roman" w:eastAsia="Times New Roman" w:hAnsi="Times New Roman" w:cs="Times New Roman"/>
          <w:color w:val="000000"/>
          <w:sz w:val="24"/>
          <w:szCs w:val="24"/>
          <w:lang w:eastAsia="pt-BR"/>
        </w:rPr>
        <w:t xml:space="preserve">Foram consideradas qualitativamente relevantes as contas ou os ciclos de transações cujas operações, atividades ou transações subjacentes tenham alta sensibilidade pública/social ou que possam incluir riscos cujas distorções, com base na relevância pela natureza ou pelas circunstâncias, possam influenciar as </w:t>
      </w:r>
      <w:r w:rsidR="00B762EE">
        <w:rPr>
          <w:rFonts w:ascii="Times New Roman" w:eastAsia="Times New Roman" w:hAnsi="Times New Roman" w:cs="Times New Roman"/>
          <w:color w:val="000000"/>
          <w:sz w:val="24"/>
          <w:szCs w:val="24"/>
          <w:lang w:eastAsia="pt-BR"/>
        </w:rPr>
        <w:t xml:space="preserve">decisões dos usuários previstos e as contas que </w:t>
      </w:r>
      <w:r w:rsidR="007C7034">
        <w:rPr>
          <w:rFonts w:ascii="Times New Roman" w:eastAsia="Times New Roman" w:hAnsi="Times New Roman" w:cs="Times New Roman"/>
          <w:color w:val="000000"/>
          <w:sz w:val="24"/>
          <w:szCs w:val="24"/>
          <w:lang w:eastAsia="pt-BR"/>
        </w:rPr>
        <w:t>integravam</w:t>
      </w:r>
      <w:r w:rsidR="00B762EE" w:rsidRPr="001303B8">
        <w:rPr>
          <w:rFonts w:ascii="Times New Roman" w:eastAsia="Times New Roman" w:hAnsi="Times New Roman" w:cs="Times New Roman"/>
          <w:color w:val="000000"/>
          <w:sz w:val="24"/>
          <w:szCs w:val="24"/>
          <w:lang w:eastAsia="pt-BR"/>
        </w:rPr>
        <w:t xml:space="preserve"> os ciclos contábeis selecionados pela equipe de auditoria</w:t>
      </w:r>
      <w:r w:rsidR="009F1252">
        <w:rPr>
          <w:rFonts w:ascii="Times New Roman" w:eastAsia="Times New Roman" w:hAnsi="Times New Roman" w:cs="Times New Roman"/>
          <w:color w:val="000000"/>
          <w:sz w:val="24"/>
          <w:szCs w:val="24"/>
          <w:lang w:eastAsia="pt-BR"/>
        </w:rPr>
        <w:t>.</w:t>
      </w:r>
    </w:p>
    <w:p w14:paraId="3A8BAEE0" w14:textId="77777777" w:rsidR="001F2898" w:rsidRDefault="001F2898" w:rsidP="00732A0B">
      <w:pPr>
        <w:ind w:right="119" w:firstLine="0"/>
        <w:jc w:val="both"/>
        <w:rPr>
          <w:rFonts w:ascii="Times New Roman" w:eastAsia="Times New Roman" w:hAnsi="Times New Roman" w:cs="Times New Roman"/>
          <w:sz w:val="24"/>
          <w:szCs w:val="24"/>
          <w:lang w:eastAsia="pt-BR"/>
        </w:rPr>
      </w:pPr>
    </w:p>
    <w:p w14:paraId="1BC08AAA" w14:textId="77777777" w:rsidR="001F2898" w:rsidRDefault="00A61C3A" w:rsidP="004B1E97">
      <w:pPr>
        <w:spacing w:before="240"/>
        <w:ind w:right="120" w:firstLine="0"/>
        <w:jc w:val="both"/>
        <w:rPr>
          <w:rFonts w:ascii="Times New Roman" w:eastAsia="Times New Roman" w:hAnsi="Times New Roman" w:cs="Times New Roman"/>
          <w:sz w:val="24"/>
          <w:szCs w:val="24"/>
          <w:lang w:eastAsia="pt-BR"/>
        </w:rPr>
      </w:pPr>
      <w:r w:rsidRPr="00EB5BF1">
        <w:rPr>
          <w:rFonts w:ascii="Times New Roman" w:eastAsia="Times New Roman" w:hAnsi="Times New Roman" w:cs="Times New Roman"/>
          <w:b/>
          <w:bCs/>
          <w:color w:val="000000"/>
          <w:sz w:val="24"/>
          <w:szCs w:val="24"/>
          <w:lang w:eastAsia="pt-BR"/>
        </w:rPr>
        <w:t>c) Revisão dos níveis de materialidade</w:t>
      </w:r>
    </w:p>
    <w:p w14:paraId="44945394" w14:textId="77777777" w:rsidR="001F2898" w:rsidRDefault="00A61C3A" w:rsidP="00732A0B">
      <w:pPr>
        <w:spacing w:before="240"/>
        <w:ind w:right="120" w:firstLine="708"/>
        <w:jc w:val="both"/>
        <w:rPr>
          <w:rFonts w:ascii="Times New Roman" w:eastAsia="Times New Roman" w:hAnsi="Times New Roman" w:cs="Times New Roman"/>
          <w:color w:val="000000"/>
          <w:sz w:val="24"/>
          <w:szCs w:val="24"/>
          <w:lang w:eastAsia="pt-BR"/>
        </w:rPr>
      </w:pPr>
      <w:r w:rsidRPr="00EB5BF1">
        <w:rPr>
          <w:rFonts w:ascii="Times New Roman" w:eastAsia="Times New Roman" w:hAnsi="Times New Roman" w:cs="Times New Roman"/>
          <w:color w:val="000000"/>
          <w:sz w:val="24"/>
          <w:szCs w:val="24"/>
          <w:lang w:eastAsia="pt-BR"/>
        </w:rPr>
        <w:t>Antes de avaliar o efeito das distorções não corrigidas, a equipe</w:t>
      </w:r>
      <w:r w:rsidR="0027598B">
        <w:rPr>
          <w:rFonts w:ascii="Times New Roman" w:eastAsia="Times New Roman" w:hAnsi="Times New Roman" w:cs="Times New Roman"/>
          <w:color w:val="000000"/>
          <w:sz w:val="24"/>
          <w:szCs w:val="24"/>
          <w:lang w:eastAsia="pt-BR"/>
        </w:rPr>
        <w:t xml:space="preserve"> de auditoria revisou os níveis de</w:t>
      </w:r>
      <w:r w:rsidRPr="00EB5BF1">
        <w:rPr>
          <w:rFonts w:ascii="Times New Roman" w:eastAsia="Times New Roman" w:hAnsi="Times New Roman" w:cs="Times New Roman"/>
          <w:color w:val="000000"/>
          <w:sz w:val="24"/>
          <w:szCs w:val="24"/>
          <w:lang w:eastAsia="pt-BR"/>
        </w:rPr>
        <w:t xml:space="preserve"> materialidade</w:t>
      </w:r>
      <w:r w:rsidR="0027598B">
        <w:rPr>
          <w:rFonts w:ascii="Times New Roman" w:eastAsia="Times New Roman" w:hAnsi="Times New Roman" w:cs="Times New Roman"/>
          <w:color w:val="000000"/>
          <w:sz w:val="24"/>
          <w:szCs w:val="24"/>
          <w:lang w:eastAsia="pt-BR"/>
        </w:rPr>
        <w:t xml:space="preserve"> estabelecidos no planejamento para confirmar se continuavam apropriados. A MG e a ME, depois de atualizadas, seguiram os mesmos referenciais e percentuais inicialmente definidos.  </w:t>
      </w:r>
      <w:r w:rsidRPr="00EB5BF1">
        <w:rPr>
          <w:rFonts w:ascii="Times New Roman" w:eastAsia="Times New Roman" w:hAnsi="Times New Roman" w:cs="Times New Roman"/>
          <w:color w:val="000000"/>
          <w:sz w:val="24"/>
          <w:szCs w:val="24"/>
          <w:lang w:eastAsia="pt-BR"/>
        </w:rPr>
        <w:t>A tabela a seguir apresenta os níveis de ma</w:t>
      </w:r>
      <w:r w:rsidR="00E96D86">
        <w:rPr>
          <w:rFonts w:ascii="Times New Roman" w:eastAsia="Times New Roman" w:hAnsi="Times New Roman" w:cs="Times New Roman"/>
          <w:color w:val="000000"/>
          <w:sz w:val="24"/>
          <w:szCs w:val="24"/>
          <w:lang w:eastAsia="pt-BR"/>
        </w:rPr>
        <w:t>terialidade inicial e revisada.</w:t>
      </w:r>
    </w:p>
    <w:p w14:paraId="09573AF9" w14:textId="77777777" w:rsidR="00732A0B" w:rsidRDefault="00732A0B" w:rsidP="00732A0B">
      <w:pPr>
        <w:ind w:right="120" w:firstLine="0"/>
        <w:jc w:val="center"/>
        <w:rPr>
          <w:rFonts w:ascii="Times New Roman" w:eastAsia="Times New Roman" w:hAnsi="Times New Roman" w:cs="Times New Roman"/>
          <w:b/>
          <w:bCs/>
          <w:color w:val="000000"/>
          <w:sz w:val="20"/>
          <w:szCs w:val="20"/>
          <w:lang w:eastAsia="pt-BR"/>
        </w:rPr>
      </w:pPr>
    </w:p>
    <w:p w14:paraId="724CDF4D" w14:textId="24EC2FF1" w:rsidR="009F1252" w:rsidRDefault="00321167" w:rsidP="0050715B">
      <w:pPr>
        <w:ind w:right="120"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 xml:space="preserve">Tabela </w:t>
      </w:r>
      <w:r w:rsidR="0050715B">
        <w:rPr>
          <w:rFonts w:ascii="Times New Roman" w:eastAsia="Times New Roman" w:hAnsi="Times New Roman" w:cs="Times New Roman"/>
          <w:b/>
          <w:bCs/>
          <w:color w:val="000000"/>
          <w:sz w:val="20"/>
          <w:szCs w:val="20"/>
          <w:lang w:eastAsia="pt-BR"/>
        </w:rPr>
        <w:t>5</w:t>
      </w:r>
      <w:r w:rsidR="00A61C3A" w:rsidRPr="00C25ECC">
        <w:rPr>
          <w:rFonts w:ascii="Times New Roman" w:eastAsia="Times New Roman" w:hAnsi="Times New Roman" w:cs="Times New Roman"/>
          <w:b/>
          <w:bCs/>
          <w:color w:val="000000"/>
          <w:sz w:val="20"/>
          <w:szCs w:val="20"/>
          <w:lang w:eastAsia="pt-BR"/>
        </w:rPr>
        <w:t xml:space="preserve"> - Níveis de materialidade - Quadro comparativo da materialidade - Inicial X Revisada (R$)</w:t>
      </w:r>
      <w:bookmarkEnd w:id="27"/>
    </w:p>
    <w:tbl>
      <w:tblPr>
        <w:tblStyle w:val="Tabelacomgrade"/>
        <w:tblW w:w="9498" w:type="dxa"/>
        <w:jc w:val="center"/>
        <w:tblLayout w:type="fixed"/>
        <w:tblLook w:val="04A0" w:firstRow="1" w:lastRow="0" w:firstColumn="1" w:lastColumn="0" w:noHBand="0" w:noVBand="1"/>
      </w:tblPr>
      <w:tblGrid>
        <w:gridCol w:w="3686"/>
        <w:gridCol w:w="1276"/>
        <w:gridCol w:w="1843"/>
        <w:gridCol w:w="1842"/>
        <w:gridCol w:w="851"/>
      </w:tblGrid>
      <w:tr w:rsidR="009F1252" w14:paraId="6E49CEAC" w14:textId="77777777" w:rsidTr="00713094">
        <w:trPr>
          <w:jc w:val="center"/>
        </w:trPr>
        <w:tc>
          <w:tcPr>
            <w:tcW w:w="4962" w:type="dxa"/>
            <w:gridSpan w:val="2"/>
            <w:vMerge w:val="restart"/>
            <w:shd w:val="clear" w:color="auto" w:fill="D9D9D9" w:themeFill="background1" w:themeFillShade="D9"/>
            <w:vAlign w:val="center"/>
          </w:tcPr>
          <w:p w14:paraId="435AB8BA" w14:textId="77777777" w:rsidR="009F1252" w:rsidRPr="009F1252" w:rsidRDefault="009F1252" w:rsidP="009F1252">
            <w:pPr>
              <w:ind w:right="60" w:firstLine="0"/>
              <w:jc w:val="center"/>
              <w:rPr>
                <w:rFonts w:ascii="Times New Roman" w:eastAsia="Times New Roman" w:hAnsi="Times New Roman" w:cs="Times New Roman"/>
                <w:sz w:val="20"/>
                <w:szCs w:val="20"/>
                <w:lang w:eastAsia="pt-BR"/>
              </w:rPr>
            </w:pPr>
            <w:r w:rsidRPr="009F1252">
              <w:rPr>
                <w:rFonts w:ascii="Times New Roman" w:eastAsia="Times New Roman" w:hAnsi="Times New Roman" w:cs="Times New Roman"/>
                <w:b/>
                <w:bCs/>
                <w:sz w:val="20"/>
                <w:szCs w:val="20"/>
                <w:lang w:eastAsia="pt-BR"/>
              </w:rPr>
              <w:t>VR – Valor de referência</w:t>
            </w:r>
          </w:p>
          <w:p w14:paraId="4C7DB793" w14:textId="0A6D8E1E" w:rsidR="009F1252" w:rsidRPr="009F1252" w:rsidRDefault="009F1252" w:rsidP="009F1252">
            <w:pPr>
              <w:ind w:right="120" w:firstLine="0"/>
              <w:jc w:val="center"/>
              <w:rPr>
                <w:rFonts w:ascii="Times New Roman" w:eastAsia="Times New Roman" w:hAnsi="Times New Roman" w:cs="Times New Roman"/>
                <w:b/>
                <w:bCs/>
                <w:color w:val="000000"/>
                <w:sz w:val="20"/>
                <w:szCs w:val="20"/>
                <w:lang w:eastAsia="pt-BR"/>
              </w:rPr>
            </w:pPr>
            <w:r w:rsidRPr="009F1252">
              <w:rPr>
                <w:rFonts w:ascii="Times New Roman" w:eastAsia="Times New Roman" w:hAnsi="Times New Roman" w:cs="Times New Roman"/>
                <w:b/>
                <w:bCs/>
                <w:sz w:val="20"/>
                <w:szCs w:val="20"/>
                <w:lang w:eastAsia="pt-BR"/>
              </w:rPr>
              <w:t>Despesa total empenhada (BO)</w:t>
            </w:r>
          </w:p>
        </w:tc>
        <w:tc>
          <w:tcPr>
            <w:tcW w:w="1843" w:type="dxa"/>
            <w:shd w:val="clear" w:color="auto" w:fill="D9D9D9" w:themeFill="background1" w:themeFillShade="D9"/>
            <w:vAlign w:val="center"/>
          </w:tcPr>
          <w:p w14:paraId="12B440B2" w14:textId="77777777" w:rsidR="009F1252" w:rsidRPr="00E6783A" w:rsidRDefault="009F1252" w:rsidP="009F1252">
            <w:pPr>
              <w:ind w:left="60" w:right="60" w:firstLine="0"/>
              <w:jc w:val="center"/>
              <w:rPr>
                <w:rFonts w:ascii="Times New Roman" w:eastAsia="Times New Roman" w:hAnsi="Times New Roman" w:cs="Times New Roman"/>
                <w:sz w:val="20"/>
                <w:szCs w:val="20"/>
                <w:lang w:eastAsia="pt-BR"/>
              </w:rPr>
            </w:pPr>
            <w:r w:rsidRPr="00E6783A">
              <w:rPr>
                <w:rFonts w:ascii="Times New Roman" w:eastAsia="Times New Roman" w:hAnsi="Times New Roman" w:cs="Times New Roman"/>
                <w:b/>
                <w:bCs/>
                <w:sz w:val="20"/>
                <w:szCs w:val="20"/>
                <w:lang w:eastAsia="pt-BR"/>
              </w:rPr>
              <w:t>Inicial</w:t>
            </w:r>
          </w:p>
          <w:p w14:paraId="0DF85880" w14:textId="2640F574" w:rsidR="009F1252" w:rsidRPr="009F1252" w:rsidRDefault="009F1252" w:rsidP="009F1252">
            <w:pPr>
              <w:ind w:right="120" w:firstLine="0"/>
              <w:jc w:val="center"/>
              <w:rPr>
                <w:rFonts w:ascii="Times New Roman" w:eastAsia="Times New Roman" w:hAnsi="Times New Roman" w:cs="Times New Roman"/>
                <w:b/>
                <w:bCs/>
                <w:color w:val="000000"/>
                <w:sz w:val="20"/>
                <w:szCs w:val="20"/>
                <w:lang w:eastAsia="pt-BR"/>
              </w:rPr>
            </w:pPr>
            <w:r w:rsidRPr="00E6783A">
              <w:rPr>
                <w:rFonts w:ascii="Times New Roman" w:eastAsia="Times New Roman" w:hAnsi="Times New Roman" w:cs="Times New Roman"/>
                <w:b/>
                <w:bCs/>
                <w:sz w:val="20"/>
                <w:szCs w:val="20"/>
                <w:lang w:eastAsia="pt-BR"/>
              </w:rPr>
              <w:t>Julho/202</w:t>
            </w:r>
            <w:r>
              <w:rPr>
                <w:rFonts w:ascii="Times New Roman" w:eastAsia="Times New Roman" w:hAnsi="Times New Roman" w:cs="Times New Roman"/>
                <w:b/>
                <w:bCs/>
                <w:sz w:val="20"/>
                <w:szCs w:val="20"/>
                <w:lang w:eastAsia="pt-BR"/>
              </w:rPr>
              <w:t>5</w:t>
            </w:r>
          </w:p>
        </w:tc>
        <w:tc>
          <w:tcPr>
            <w:tcW w:w="1842" w:type="dxa"/>
            <w:shd w:val="clear" w:color="auto" w:fill="D9D9D9" w:themeFill="background1" w:themeFillShade="D9"/>
            <w:vAlign w:val="center"/>
          </w:tcPr>
          <w:p w14:paraId="3CB96DCB" w14:textId="77777777" w:rsidR="009F1252" w:rsidRPr="00E6783A" w:rsidRDefault="009F1252" w:rsidP="009F1252">
            <w:pPr>
              <w:ind w:left="60" w:right="60" w:firstLine="0"/>
              <w:jc w:val="center"/>
              <w:rPr>
                <w:rFonts w:ascii="Times New Roman" w:eastAsia="Times New Roman" w:hAnsi="Times New Roman" w:cs="Times New Roman"/>
                <w:sz w:val="20"/>
                <w:szCs w:val="20"/>
                <w:lang w:eastAsia="pt-BR"/>
              </w:rPr>
            </w:pPr>
            <w:r w:rsidRPr="00E6783A">
              <w:rPr>
                <w:rFonts w:ascii="Times New Roman" w:eastAsia="Times New Roman" w:hAnsi="Times New Roman" w:cs="Times New Roman"/>
                <w:b/>
                <w:bCs/>
                <w:sz w:val="20"/>
                <w:szCs w:val="20"/>
                <w:lang w:eastAsia="pt-BR"/>
              </w:rPr>
              <w:t>Revisada</w:t>
            </w:r>
          </w:p>
          <w:p w14:paraId="0B67CEAA" w14:textId="5D8A85B1" w:rsidR="009F1252" w:rsidRPr="009F1252" w:rsidRDefault="009F1252" w:rsidP="009F1252">
            <w:pPr>
              <w:ind w:right="120" w:firstLine="0"/>
              <w:jc w:val="center"/>
              <w:rPr>
                <w:rFonts w:ascii="Times New Roman" w:eastAsia="Times New Roman" w:hAnsi="Times New Roman" w:cs="Times New Roman"/>
                <w:b/>
                <w:bCs/>
                <w:color w:val="000000"/>
                <w:sz w:val="20"/>
                <w:szCs w:val="20"/>
                <w:lang w:eastAsia="pt-BR"/>
              </w:rPr>
            </w:pPr>
            <w:r w:rsidRPr="00E6783A">
              <w:rPr>
                <w:rFonts w:ascii="Times New Roman" w:eastAsia="Times New Roman" w:hAnsi="Times New Roman" w:cs="Times New Roman"/>
                <w:b/>
                <w:bCs/>
                <w:sz w:val="20"/>
                <w:szCs w:val="20"/>
                <w:lang w:eastAsia="pt-BR"/>
              </w:rPr>
              <w:t>Dezembro/202</w:t>
            </w:r>
            <w:r>
              <w:rPr>
                <w:rFonts w:ascii="Times New Roman" w:eastAsia="Times New Roman" w:hAnsi="Times New Roman" w:cs="Times New Roman"/>
                <w:b/>
                <w:bCs/>
                <w:sz w:val="20"/>
                <w:szCs w:val="20"/>
                <w:lang w:eastAsia="pt-BR"/>
              </w:rPr>
              <w:t>5</w:t>
            </w:r>
          </w:p>
        </w:tc>
        <w:tc>
          <w:tcPr>
            <w:tcW w:w="851" w:type="dxa"/>
            <w:vMerge w:val="restart"/>
            <w:shd w:val="clear" w:color="auto" w:fill="D9D9D9" w:themeFill="background1" w:themeFillShade="D9"/>
            <w:vAlign w:val="center"/>
          </w:tcPr>
          <w:p w14:paraId="28701106" w14:textId="02DDD5AD" w:rsidR="009F1252" w:rsidRPr="009F1252" w:rsidRDefault="009F1252" w:rsidP="00030789">
            <w:pPr>
              <w:ind w:right="120" w:firstLine="0"/>
              <w:jc w:val="center"/>
              <w:rPr>
                <w:rFonts w:ascii="Times New Roman" w:eastAsia="Times New Roman" w:hAnsi="Times New Roman" w:cs="Times New Roman"/>
                <w:b/>
                <w:bCs/>
                <w:color w:val="000000"/>
                <w:sz w:val="20"/>
                <w:szCs w:val="20"/>
                <w:lang w:eastAsia="pt-BR"/>
              </w:rPr>
            </w:pPr>
            <w:r w:rsidRPr="00E6783A">
              <w:rPr>
                <w:rFonts w:ascii="Times New Roman" w:eastAsia="Times New Roman" w:hAnsi="Times New Roman" w:cs="Times New Roman"/>
                <w:b/>
                <w:bCs/>
                <w:sz w:val="20"/>
                <w:szCs w:val="20"/>
                <w:lang w:eastAsia="pt-BR"/>
              </w:rPr>
              <w:t>AH</w:t>
            </w:r>
            <w:r>
              <w:rPr>
                <w:rFonts w:ascii="Times New Roman" w:eastAsia="Times New Roman" w:hAnsi="Times New Roman" w:cs="Times New Roman"/>
                <w:b/>
                <w:bCs/>
                <w:sz w:val="20"/>
                <w:szCs w:val="20"/>
                <w:lang w:eastAsia="pt-BR"/>
              </w:rPr>
              <w:t xml:space="preserve"> </w:t>
            </w:r>
            <w:r w:rsidRPr="00E6783A">
              <w:rPr>
                <w:rFonts w:ascii="Times New Roman" w:eastAsia="Times New Roman" w:hAnsi="Times New Roman" w:cs="Times New Roman"/>
                <w:b/>
                <w:bCs/>
                <w:sz w:val="20"/>
                <w:szCs w:val="20"/>
                <w:lang w:eastAsia="pt-BR"/>
              </w:rPr>
              <w:t>(%)</w:t>
            </w:r>
          </w:p>
        </w:tc>
      </w:tr>
      <w:tr w:rsidR="009F1252" w14:paraId="700516B2" w14:textId="77777777" w:rsidTr="00713094">
        <w:trPr>
          <w:jc w:val="center"/>
        </w:trPr>
        <w:tc>
          <w:tcPr>
            <w:tcW w:w="4962" w:type="dxa"/>
            <w:gridSpan w:val="2"/>
            <w:vMerge/>
            <w:shd w:val="clear" w:color="auto" w:fill="D9D9D9" w:themeFill="background1" w:themeFillShade="D9"/>
          </w:tcPr>
          <w:p w14:paraId="7C31D127" w14:textId="77777777" w:rsidR="009F1252" w:rsidRPr="009F1252" w:rsidRDefault="009F1252" w:rsidP="00732A0B">
            <w:pPr>
              <w:ind w:right="120" w:firstLine="0"/>
              <w:jc w:val="center"/>
              <w:rPr>
                <w:rFonts w:ascii="Times New Roman" w:eastAsia="Times New Roman" w:hAnsi="Times New Roman" w:cs="Times New Roman"/>
                <w:b/>
                <w:bCs/>
                <w:color w:val="000000"/>
                <w:sz w:val="20"/>
                <w:szCs w:val="20"/>
                <w:lang w:eastAsia="pt-BR"/>
              </w:rPr>
            </w:pPr>
          </w:p>
        </w:tc>
        <w:tc>
          <w:tcPr>
            <w:tcW w:w="1843" w:type="dxa"/>
            <w:shd w:val="clear" w:color="auto" w:fill="D9D9D9" w:themeFill="background1" w:themeFillShade="D9"/>
            <w:vAlign w:val="center"/>
          </w:tcPr>
          <w:p w14:paraId="1E31C273" w14:textId="29FE3C75" w:rsidR="009F1252" w:rsidRPr="009F1252" w:rsidRDefault="009F1252" w:rsidP="009F1252">
            <w:pPr>
              <w:ind w:right="120" w:firstLine="0"/>
              <w:jc w:val="right"/>
              <w:rPr>
                <w:rFonts w:ascii="Times New Roman" w:eastAsia="Times New Roman" w:hAnsi="Times New Roman" w:cs="Times New Roman"/>
                <w:b/>
                <w:bCs/>
                <w:color w:val="000000"/>
                <w:sz w:val="20"/>
                <w:szCs w:val="20"/>
                <w:lang w:eastAsia="pt-BR"/>
              </w:rPr>
            </w:pPr>
            <w:r w:rsidRPr="00724160">
              <w:rPr>
                <w:rFonts w:ascii="Times New Roman" w:eastAsia="Times New Roman" w:hAnsi="Times New Roman" w:cs="Times New Roman"/>
                <w:b/>
                <w:sz w:val="20"/>
                <w:szCs w:val="20"/>
                <w:lang w:eastAsia="pt-BR"/>
              </w:rPr>
              <w:t>4.748.825.695,34</w:t>
            </w:r>
          </w:p>
        </w:tc>
        <w:tc>
          <w:tcPr>
            <w:tcW w:w="1842" w:type="dxa"/>
            <w:shd w:val="clear" w:color="auto" w:fill="D9D9D9" w:themeFill="background1" w:themeFillShade="D9"/>
            <w:vAlign w:val="center"/>
          </w:tcPr>
          <w:p w14:paraId="75FD8439" w14:textId="38B52509" w:rsidR="009F1252" w:rsidRPr="009F1252" w:rsidRDefault="009F1252" w:rsidP="009F1252">
            <w:pPr>
              <w:ind w:right="120" w:firstLine="0"/>
              <w:jc w:val="right"/>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6.478.663.490,51</w:t>
            </w:r>
          </w:p>
        </w:tc>
        <w:tc>
          <w:tcPr>
            <w:tcW w:w="851" w:type="dxa"/>
            <w:vMerge/>
            <w:shd w:val="clear" w:color="auto" w:fill="D9D9D9" w:themeFill="background1" w:themeFillShade="D9"/>
          </w:tcPr>
          <w:p w14:paraId="19C685BB" w14:textId="77777777" w:rsidR="009F1252" w:rsidRPr="009F1252" w:rsidRDefault="009F1252" w:rsidP="00732A0B">
            <w:pPr>
              <w:ind w:right="120" w:firstLine="0"/>
              <w:jc w:val="center"/>
              <w:rPr>
                <w:rFonts w:ascii="Times New Roman" w:eastAsia="Times New Roman" w:hAnsi="Times New Roman" w:cs="Times New Roman"/>
                <w:b/>
                <w:bCs/>
                <w:color w:val="000000"/>
                <w:sz w:val="20"/>
                <w:szCs w:val="20"/>
                <w:lang w:eastAsia="pt-BR"/>
              </w:rPr>
            </w:pPr>
          </w:p>
        </w:tc>
      </w:tr>
      <w:tr w:rsidR="009F1252" w14:paraId="0C6CF85A" w14:textId="77777777" w:rsidTr="00713094">
        <w:trPr>
          <w:jc w:val="center"/>
        </w:trPr>
        <w:tc>
          <w:tcPr>
            <w:tcW w:w="3686" w:type="dxa"/>
            <w:vAlign w:val="center"/>
          </w:tcPr>
          <w:p w14:paraId="0E449A9C" w14:textId="1A46B89D" w:rsidR="009F1252" w:rsidRPr="009F1252" w:rsidRDefault="009F1252" w:rsidP="009F1252">
            <w:pPr>
              <w:ind w:right="120" w:firstLine="0"/>
              <w:rPr>
                <w:rFonts w:ascii="Times New Roman" w:eastAsia="Times New Roman" w:hAnsi="Times New Roman" w:cs="Times New Roman"/>
                <w:b/>
                <w:bCs/>
                <w:color w:val="000000"/>
                <w:sz w:val="18"/>
                <w:szCs w:val="18"/>
                <w:lang w:eastAsia="pt-BR"/>
              </w:rPr>
            </w:pPr>
            <w:r w:rsidRPr="009F1252">
              <w:rPr>
                <w:rFonts w:ascii="Times New Roman" w:eastAsia="Times New Roman" w:hAnsi="Times New Roman" w:cs="Times New Roman"/>
                <w:color w:val="000000"/>
                <w:sz w:val="18"/>
                <w:szCs w:val="18"/>
                <w:lang w:eastAsia="pt-BR"/>
              </w:rPr>
              <w:t>MG - Materialidade global</w:t>
            </w:r>
          </w:p>
        </w:tc>
        <w:tc>
          <w:tcPr>
            <w:tcW w:w="1276" w:type="dxa"/>
          </w:tcPr>
          <w:p w14:paraId="78EC1488" w14:textId="76E9F0EE" w:rsidR="009F1252" w:rsidRPr="009F1252" w:rsidRDefault="009F1252" w:rsidP="00732A0B">
            <w:pPr>
              <w:ind w:right="120" w:firstLine="0"/>
              <w:jc w:val="center"/>
              <w:rPr>
                <w:rFonts w:ascii="Times New Roman" w:eastAsia="Times New Roman" w:hAnsi="Times New Roman" w:cs="Times New Roman"/>
                <w:b/>
                <w:bCs/>
                <w:color w:val="000000"/>
                <w:sz w:val="18"/>
                <w:szCs w:val="18"/>
                <w:lang w:eastAsia="pt-BR"/>
              </w:rPr>
            </w:pPr>
            <w:r w:rsidRPr="009F1252">
              <w:rPr>
                <w:rFonts w:ascii="Times New Roman" w:eastAsia="Times New Roman" w:hAnsi="Times New Roman" w:cs="Times New Roman"/>
                <w:color w:val="000000"/>
                <w:sz w:val="18"/>
                <w:szCs w:val="18"/>
                <w:lang w:eastAsia="pt-BR"/>
              </w:rPr>
              <w:t>2% do VR</w:t>
            </w:r>
          </w:p>
        </w:tc>
        <w:tc>
          <w:tcPr>
            <w:tcW w:w="1843" w:type="dxa"/>
          </w:tcPr>
          <w:p w14:paraId="13DC98A6" w14:textId="367538B5" w:rsidR="009F1252" w:rsidRPr="009F1252" w:rsidRDefault="009F1252" w:rsidP="009F1252">
            <w:pPr>
              <w:ind w:right="120" w:firstLine="0"/>
              <w:jc w:val="right"/>
              <w:rPr>
                <w:rFonts w:ascii="Times New Roman" w:eastAsia="Times New Roman" w:hAnsi="Times New Roman" w:cs="Times New Roman"/>
                <w:b/>
                <w:bCs/>
                <w:color w:val="000000"/>
                <w:sz w:val="20"/>
                <w:szCs w:val="20"/>
                <w:lang w:eastAsia="pt-BR"/>
              </w:rPr>
            </w:pPr>
            <w:r w:rsidRPr="00724160">
              <w:rPr>
                <w:rFonts w:ascii="Times New Roman" w:eastAsia="Times New Roman" w:hAnsi="Times New Roman" w:cs="Times New Roman"/>
                <w:sz w:val="20"/>
                <w:szCs w:val="20"/>
                <w:lang w:eastAsia="pt-BR"/>
              </w:rPr>
              <w:t>94</w:t>
            </w:r>
            <w:r>
              <w:rPr>
                <w:rFonts w:ascii="Times New Roman" w:eastAsia="Times New Roman" w:hAnsi="Times New Roman" w:cs="Times New Roman"/>
                <w:sz w:val="20"/>
                <w:szCs w:val="20"/>
                <w:lang w:eastAsia="pt-BR"/>
              </w:rPr>
              <w:t>.976.513,91</w:t>
            </w:r>
          </w:p>
        </w:tc>
        <w:tc>
          <w:tcPr>
            <w:tcW w:w="1842" w:type="dxa"/>
          </w:tcPr>
          <w:p w14:paraId="10D8D9DF" w14:textId="17B8927D" w:rsidR="009F1252" w:rsidRPr="00EB75EF" w:rsidRDefault="00EB75EF" w:rsidP="00EB75EF">
            <w:pPr>
              <w:ind w:right="120" w:firstLine="0"/>
              <w:jc w:val="right"/>
              <w:rPr>
                <w:rFonts w:ascii="Times New Roman" w:eastAsia="Times New Roman" w:hAnsi="Times New Roman" w:cs="Times New Roman"/>
                <w:color w:val="000000"/>
                <w:sz w:val="20"/>
                <w:szCs w:val="20"/>
                <w:lang w:eastAsia="pt-BR"/>
              </w:rPr>
            </w:pPr>
            <w:r w:rsidRPr="00EB75EF">
              <w:rPr>
                <w:rFonts w:ascii="Times New Roman" w:eastAsia="Times New Roman" w:hAnsi="Times New Roman" w:cs="Times New Roman"/>
                <w:color w:val="000000"/>
                <w:sz w:val="20"/>
                <w:szCs w:val="20"/>
                <w:lang w:eastAsia="pt-BR"/>
              </w:rPr>
              <w:t>129.573.269,81</w:t>
            </w:r>
          </w:p>
        </w:tc>
        <w:tc>
          <w:tcPr>
            <w:tcW w:w="851" w:type="dxa"/>
          </w:tcPr>
          <w:p w14:paraId="6A2AF103" w14:textId="0D11403F" w:rsidR="009F1252" w:rsidRPr="00030789" w:rsidRDefault="00030789" w:rsidP="00732A0B">
            <w:pPr>
              <w:ind w:right="120" w:firstLine="0"/>
              <w:jc w:val="center"/>
              <w:rPr>
                <w:rFonts w:ascii="Times New Roman" w:eastAsia="Times New Roman" w:hAnsi="Times New Roman" w:cs="Times New Roman"/>
                <w:color w:val="000000"/>
                <w:sz w:val="20"/>
                <w:szCs w:val="20"/>
                <w:lang w:eastAsia="pt-BR"/>
              </w:rPr>
            </w:pPr>
            <w:r w:rsidRPr="00030789">
              <w:rPr>
                <w:rFonts w:ascii="Times New Roman" w:eastAsia="Times New Roman" w:hAnsi="Times New Roman" w:cs="Times New Roman"/>
                <w:color w:val="000000"/>
                <w:sz w:val="20"/>
                <w:szCs w:val="20"/>
                <w:lang w:eastAsia="pt-BR"/>
              </w:rPr>
              <w:t>36,43</w:t>
            </w:r>
          </w:p>
        </w:tc>
      </w:tr>
      <w:tr w:rsidR="009F1252" w14:paraId="67146F32" w14:textId="77777777" w:rsidTr="00713094">
        <w:trPr>
          <w:jc w:val="center"/>
        </w:trPr>
        <w:tc>
          <w:tcPr>
            <w:tcW w:w="3686" w:type="dxa"/>
            <w:vAlign w:val="center"/>
          </w:tcPr>
          <w:p w14:paraId="4B805CA0" w14:textId="3320FBA0" w:rsidR="009F1252" w:rsidRPr="009F1252" w:rsidRDefault="009F1252" w:rsidP="009F1252">
            <w:pPr>
              <w:ind w:right="120" w:firstLine="0"/>
              <w:rPr>
                <w:rFonts w:ascii="Times New Roman" w:eastAsia="Times New Roman" w:hAnsi="Times New Roman" w:cs="Times New Roman"/>
                <w:b/>
                <w:bCs/>
                <w:color w:val="000000"/>
                <w:sz w:val="18"/>
                <w:szCs w:val="18"/>
                <w:lang w:eastAsia="pt-BR"/>
              </w:rPr>
            </w:pPr>
            <w:r w:rsidRPr="009F1252">
              <w:rPr>
                <w:rFonts w:ascii="Times New Roman" w:eastAsia="Times New Roman" w:hAnsi="Times New Roman" w:cs="Times New Roman"/>
                <w:color w:val="000000"/>
                <w:sz w:val="18"/>
                <w:szCs w:val="18"/>
                <w:lang w:eastAsia="pt-BR"/>
              </w:rPr>
              <w:t>ME - Materialidade para execução</w:t>
            </w:r>
          </w:p>
        </w:tc>
        <w:tc>
          <w:tcPr>
            <w:tcW w:w="1276" w:type="dxa"/>
          </w:tcPr>
          <w:p w14:paraId="166E4E5A" w14:textId="03FB212F" w:rsidR="009F1252" w:rsidRPr="009F1252" w:rsidRDefault="009F1252" w:rsidP="00732A0B">
            <w:pPr>
              <w:ind w:right="120" w:firstLine="0"/>
              <w:jc w:val="center"/>
              <w:rPr>
                <w:rFonts w:ascii="Times New Roman" w:eastAsia="Times New Roman" w:hAnsi="Times New Roman" w:cs="Times New Roman"/>
                <w:b/>
                <w:bCs/>
                <w:color w:val="000000"/>
                <w:sz w:val="18"/>
                <w:szCs w:val="18"/>
                <w:lang w:eastAsia="pt-BR"/>
              </w:rPr>
            </w:pPr>
            <w:r w:rsidRPr="009F1252">
              <w:rPr>
                <w:rFonts w:ascii="Times New Roman" w:eastAsia="Times New Roman" w:hAnsi="Times New Roman" w:cs="Times New Roman"/>
                <w:color w:val="000000"/>
                <w:sz w:val="18"/>
                <w:szCs w:val="18"/>
                <w:lang w:eastAsia="pt-BR"/>
              </w:rPr>
              <w:t>50% da MG</w:t>
            </w:r>
          </w:p>
        </w:tc>
        <w:tc>
          <w:tcPr>
            <w:tcW w:w="1843" w:type="dxa"/>
          </w:tcPr>
          <w:p w14:paraId="20C09F93" w14:textId="45768686" w:rsidR="009F1252" w:rsidRPr="009F1252" w:rsidRDefault="009F1252" w:rsidP="009F1252">
            <w:pPr>
              <w:ind w:right="120" w:firstLine="0"/>
              <w:jc w:val="right"/>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sz w:val="20"/>
                <w:szCs w:val="20"/>
                <w:lang w:eastAsia="pt-BR"/>
              </w:rPr>
              <w:t>47.488.256,95</w:t>
            </w:r>
          </w:p>
        </w:tc>
        <w:tc>
          <w:tcPr>
            <w:tcW w:w="1842" w:type="dxa"/>
          </w:tcPr>
          <w:p w14:paraId="18B68BD1" w14:textId="30F3E064" w:rsidR="009F1252" w:rsidRPr="00EB75EF" w:rsidRDefault="00EB75EF" w:rsidP="00EB75EF">
            <w:pPr>
              <w:ind w:right="120" w:firstLine="0"/>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64.786.634,91</w:t>
            </w:r>
          </w:p>
        </w:tc>
        <w:tc>
          <w:tcPr>
            <w:tcW w:w="851" w:type="dxa"/>
          </w:tcPr>
          <w:p w14:paraId="2E1E9A5B" w14:textId="19C9CB4A" w:rsidR="009F1252" w:rsidRPr="00030789" w:rsidRDefault="00030789" w:rsidP="00732A0B">
            <w:pPr>
              <w:ind w:right="120" w:firstLine="0"/>
              <w:jc w:val="center"/>
              <w:rPr>
                <w:rFonts w:ascii="Times New Roman" w:eastAsia="Times New Roman" w:hAnsi="Times New Roman" w:cs="Times New Roman"/>
                <w:color w:val="000000"/>
                <w:sz w:val="20"/>
                <w:szCs w:val="20"/>
                <w:lang w:eastAsia="pt-BR"/>
              </w:rPr>
            </w:pPr>
            <w:r w:rsidRPr="00030789">
              <w:rPr>
                <w:rFonts w:ascii="Times New Roman" w:eastAsia="Times New Roman" w:hAnsi="Times New Roman" w:cs="Times New Roman"/>
                <w:color w:val="000000"/>
                <w:sz w:val="20"/>
                <w:szCs w:val="20"/>
                <w:lang w:eastAsia="pt-BR"/>
              </w:rPr>
              <w:t>36,43</w:t>
            </w:r>
          </w:p>
        </w:tc>
      </w:tr>
      <w:tr w:rsidR="009F1252" w14:paraId="28BDBD7A" w14:textId="77777777" w:rsidTr="00713094">
        <w:trPr>
          <w:jc w:val="center"/>
        </w:trPr>
        <w:tc>
          <w:tcPr>
            <w:tcW w:w="3686" w:type="dxa"/>
            <w:vAlign w:val="center"/>
          </w:tcPr>
          <w:p w14:paraId="15FABEB6" w14:textId="1EEBB47B" w:rsidR="009F1252" w:rsidRPr="009F1252" w:rsidRDefault="009F1252" w:rsidP="009F1252">
            <w:pPr>
              <w:ind w:right="120" w:firstLine="0"/>
              <w:rPr>
                <w:rFonts w:ascii="Times New Roman" w:eastAsia="Times New Roman" w:hAnsi="Times New Roman" w:cs="Times New Roman"/>
                <w:b/>
                <w:bCs/>
                <w:color w:val="000000"/>
                <w:sz w:val="18"/>
                <w:szCs w:val="18"/>
                <w:lang w:eastAsia="pt-BR"/>
              </w:rPr>
            </w:pPr>
            <w:r w:rsidRPr="009F1252">
              <w:rPr>
                <w:rFonts w:ascii="Times New Roman" w:eastAsia="Times New Roman" w:hAnsi="Times New Roman" w:cs="Times New Roman"/>
                <w:color w:val="000000"/>
                <w:sz w:val="18"/>
                <w:szCs w:val="18"/>
                <w:lang w:eastAsia="pt-BR"/>
              </w:rPr>
              <w:t>LAD - Limite para acumulação de distorções</w:t>
            </w:r>
          </w:p>
        </w:tc>
        <w:tc>
          <w:tcPr>
            <w:tcW w:w="1276" w:type="dxa"/>
          </w:tcPr>
          <w:p w14:paraId="4F731506" w14:textId="57959BB4" w:rsidR="009F1252" w:rsidRPr="009F1252" w:rsidRDefault="009F1252" w:rsidP="00732A0B">
            <w:pPr>
              <w:ind w:right="120" w:firstLine="0"/>
              <w:jc w:val="center"/>
              <w:rPr>
                <w:rFonts w:ascii="Times New Roman" w:eastAsia="Times New Roman" w:hAnsi="Times New Roman" w:cs="Times New Roman"/>
                <w:b/>
                <w:bCs/>
                <w:color w:val="000000"/>
                <w:sz w:val="18"/>
                <w:szCs w:val="18"/>
                <w:lang w:eastAsia="pt-BR"/>
              </w:rPr>
            </w:pPr>
            <w:r w:rsidRPr="009F1252">
              <w:rPr>
                <w:rFonts w:ascii="Times New Roman" w:eastAsia="Times New Roman" w:hAnsi="Times New Roman" w:cs="Times New Roman"/>
                <w:color w:val="000000"/>
                <w:sz w:val="18"/>
                <w:szCs w:val="18"/>
                <w:lang w:eastAsia="pt-BR"/>
              </w:rPr>
              <w:t>5% da MG</w:t>
            </w:r>
          </w:p>
        </w:tc>
        <w:tc>
          <w:tcPr>
            <w:tcW w:w="1843" w:type="dxa"/>
          </w:tcPr>
          <w:p w14:paraId="0CFA56E8" w14:textId="4E89AE02" w:rsidR="009F1252" w:rsidRPr="009F1252" w:rsidRDefault="009F1252" w:rsidP="009F1252">
            <w:pPr>
              <w:ind w:right="120" w:firstLine="0"/>
              <w:jc w:val="right"/>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sz w:val="20"/>
                <w:szCs w:val="20"/>
                <w:lang w:eastAsia="pt-BR"/>
              </w:rPr>
              <w:t>4.748.825,70</w:t>
            </w:r>
          </w:p>
        </w:tc>
        <w:tc>
          <w:tcPr>
            <w:tcW w:w="1842" w:type="dxa"/>
          </w:tcPr>
          <w:p w14:paraId="7AE4BFF2" w14:textId="20790202" w:rsidR="009F1252" w:rsidRPr="00EB75EF" w:rsidRDefault="00EB75EF" w:rsidP="00EB75EF">
            <w:pPr>
              <w:ind w:right="120" w:firstLine="0"/>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6.478.663,49</w:t>
            </w:r>
          </w:p>
        </w:tc>
        <w:tc>
          <w:tcPr>
            <w:tcW w:w="851" w:type="dxa"/>
          </w:tcPr>
          <w:p w14:paraId="34A49390" w14:textId="5566C4C6" w:rsidR="009F1252" w:rsidRPr="00030789" w:rsidRDefault="00030789" w:rsidP="00732A0B">
            <w:pPr>
              <w:ind w:right="120" w:firstLine="0"/>
              <w:jc w:val="center"/>
              <w:rPr>
                <w:rFonts w:ascii="Times New Roman" w:eastAsia="Times New Roman" w:hAnsi="Times New Roman" w:cs="Times New Roman"/>
                <w:color w:val="000000"/>
                <w:sz w:val="20"/>
                <w:szCs w:val="20"/>
                <w:lang w:eastAsia="pt-BR"/>
              </w:rPr>
            </w:pPr>
            <w:r w:rsidRPr="00030789">
              <w:rPr>
                <w:rFonts w:ascii="Times New Roman" w:eastAsia="Times New Roman" w:hAnsi="Times New Roman" w:cs="Times New Roman"/>
                <w:color w:val="000000"/>
                <w:sz w:val="20"/>
                <w:szCs w:val="20"/>
                <w:lang w:eastAsia="pt-BR"/>
              </w:rPr>
              <w:t>36,43</w:t>
            </w:r>
          </w:p>
        </w:tc>
      </w:tr>
    </w:tbl>
    <w:p w14:paraId="692228FD" w14:textId="1CCF29F6" w:rsidR="001F2898" w:rsidRDefault="00A61C3A" w:rsidP="00732A0B">
      <w:pPr>
        <w:ind w:right="120" w:firstLine="0"/>
        <w:jc w:val="both"/>
        <w:rPr>
          <w:rFonts w:ascii="Times New Roman" w:eastAsia="Times New Roman" w:hAnsi="Times New Roman" w:cs="Times New Roman"/>
          <w:sz w:val="20"/>
          <w:szCs w:val="20"/>
          <w:lang w:eastAsia="pt-BR"/>
        </w:rPr>
      </w:pPr>
      <w:r w:rsidRPr="002F2CA2">
        <w:rPr>
          <w:rFonts w:ascii="Times New Roman" w:eastAsia="Times New Roman" w:hAnsi="Times New Roman" w:cs="Times New Roman"/>
          <w:color w:val="000000"/>
          <w:sz w:val="20"/>
          <w:szCs w:val="20"/>
          <w:lang w:eastAsia="pt-BR"/>
        </w:rPr>
        <w:t>Fonte: Elaboração pela equipe de auditoria, com base nas D</w:t>
      </w:r>
      <w:r w:rsidR="008D22E9">
        <w:rPr>
          <w:rFonts w:ascii="Times New Roman" w:eastAsia="Times New Roman" w:hAnsi="Times New Roman" w:cs="Times New Roman"/>
          <w:color w:val="000000"/>
          <w:sz w:val="20"/>
          <w:szCs w:val="20"/>
          <w:lang w:eastAsia="pt-BR"/>
        </w:rPr>
        <w:t>espesas empenhadas em julho/202</w:t>
      </w:r>
      <w:r w:rsidR="00F65C6E">
        <w:rPr>
          <w:rFonts w:ascii="Times New Roman" w:eastAsia="Times New Roman" w:hAnsi="Times New Roman" w:cs="Times New Roman"/>
          <w:color w:val="000000"/>
          <w:sz w:val="20"/>
          <w:szCs w:val="20"/>
          <w:lang w:eastAsia="pt-BR"/>
        </w:rPr>
        <w:t>5</w:t>
      </w:r>
      <w:r w:rsidR="008D22E9">
        <w:rPr>
          <w:rFonts w:ascii="Times New Roman" w:eastAsia="Times New Roman" w:hAnsi="Times New Roman" w:cs="Times New Roman"/>
          <w:color w:val="000000"/>
          <w:sz w:val="20"/>
          <w:szCs w:val="20"/>
          <w:lang w:eastAsia="pt-BR"/>
        </w:rPr>
        <w:t xml:space="preserve"> </w:t>
      </w:r>
      <w:r w:rsidRPr="002F2CA2">
        <w:rPr>
          <w:rFonts w:ascii="Times New Roman" w:eastAsia="Times New Roman" w:hAnsi="Times New Roman" w:cs="Times New Roman"/>
          <w:color w:val="000000"/>
          <w:sz w:val="20"/>
          <w:szCs w:val="20"/>
          <w:lang w:eastAsia="pt-BR"/>
        </w:rPr>
        <w:t>e dezembro/202</w:t>
      </w:r>
      <w:r w:rsidR="00F65C6E">
        <w:rPr>
          <w:rFonts w:ascii="Times New Roman" w:eastAsia="Times New Roman" w:hAnsi="Times New Roman" w:cs="Times New Roman"/>
          <w:color w:val="000000"/>
          <w:sz w:val="20"/>
          <w:szCs w:val="20"/>
          <w:lang w:eastAsia="pt-BR"/>
        </w:rPr>
        <w:t>5</w:t>
      </w:r>
    </w:p>
    <w:p w14:paraId="5EACBC08" w14:textId="683EA34A" w:rsidR="001F2898" w:rsidRPr="00AF2500" w:rsidRDefault="00A61C3A" w:rsidP="00400F07">
      <w:pPr>
        <w:spacing w:before="240"/>
        <w:ind w:right="120" w:firstLine="708"/>
        <w:jc w:val="both"/>
        <w:rPr>
          <w:rFonts w:ascii="Times New Roman" w:hAnsi="Times New Roman" w:cs="Times New Roman"/>
          <w:sz w:val="24"/>
          <w:szCs w:val="24"/>
        </w:rPr>
      </w:pPr>
      <w:r w:rsidRPr="003F635A">
        <w:rPr>
          <w:rFonts w:ascii="Times New Roman" w:eastAsia="Times New Roman" w:hAnsi="Times New Roman" w:cs="Times New Roman"/>
          <w:sz w:val="24"/>
          <w:szCs w:val="24"/>
          <w:lang w:eastAsia="pt-BR"/>
        </w:rPr>
        <w:t xml:space="preserve">Percebe-se que ocorreu um aumento de </w:t>
      </w:r>
      <w:r w:rsidR="003F6C7F">
        <w:rPr>
          <w:rFonts w:ascii="Times New Roman" w:eastAsia="Times New Roman" w:hAnsi="Times New Roman" w:cs="Times New Roman"/>
          <w:sz w:val="24"/>
          <w:szCs w:val="24"/>
          <w:lang w:eastAsia="pt-BR"/>
        </w:rPr>
        <w:t>36</w:t>
      </w:r>
      <w:r w:rsidR="0093427A">
        <w:rPr>
          <w:rFonts w:ascii="Times New Roman" w:eastAsia="Times New Roman" w:hAnsi="Times New Roman" w:cs="Times New Roman"/>
          <w:sz w:val="24"/>
          <w:szCs w:val="24"/>
          <w:lang w:eastAsia="pt-BR"/>
        </w:rPr>
        <w:t>,4</w:t>
      </w:r>
      <w:r w:rsidR="003F6C7F">
        <w:rPr>
          <w:rFonts w:ascii="Times New Roman" w:eastAsia="Times New Roman" w:hAnsi="Times New Roman" w:cs="Times New Roman"/>
          <w:sz w:val="24"/>
          <w:szCs w:val="24"/>
          <w:lang w:eastAsia="pt-BR"/>
        </w:rPr>
        <w:t>3</w:t>
      </w:r>
      <w:r w:rsidRPr="003F635A">
        <w:rPr>
          <w:rFonts w:ascii="Times New Roman" w:eastAsia="Times New Roman" w:hAnsi="Times New Roman" w:cs="Times New Roman"/>
          <w:sz w:val="24"/>
          <w:szCs w:val="24"/>
          <w:lang w:eastAsia="pt-BR"/>
        </w:rPr>
        <w:t xml:space="preserve">% em relação aos valores estabelecidos inicialmente. </w:t>
      </w:r>
      <w:r w:rsidR="006F1F4F" w:rsidRPr="006F1F4F">
        <w:rPr>
          <w:rFonts w:ascii="Times New Roman" w:eastAsia="Times New Roman" w:hAnsi="Times New Roman" w:cs="Times New Roman"/>
          <w:sz w:val="24"/>
          <w:szCs w:val="24"/>
          <w:lang w:eastAsia="pt-BR"/>
        </w:rPr>
        <w:t xml:space="preserve">No entanto, verificou-se que os valores obtidos na revisão da materialidade em </w:t>
      </w:r>
      <w:r w:rsidR="006F1F4F" w:rsidRPr="006F1F4F">
        <w:rPr>
          <w:rFonts w:ascii="Times New Roman" w:eastAsia="Times New Roman" w:hAnsi="Times New Roman" w:cs="Times New Roman"/>
          <w:sz w:val="24"/>
          <w:szCs w:val="24"/>
          <w:lang w:eastAsia="pt-BR"/>
        </w:rPr>
        <w:lastRenderedPageBreak/>
        <w:t>31/12/202</w:t>
      </w:r>
      <w:r w:rsidR="006F1F4F">
        <w:rPr>
          <w:rFonts w:ascii="Times New Roman" w:eastAsia="Times New Roman" w:hAnsi="Times New Roman" w:cs="Times New Roman"/>
          <w:sz w:val="24"/>
          <w:szCs w:val="24"/>
          <w:lang w:eastAsia="pt-BR"/>
        </w:rPr>
        <w:t>5</w:t>
      </w:r>
      <w:r w:rsidR="006F1F4F" w:rsidRPr="006F1F4F">
        <w:rPr>
          <w:rFonts w:ascii="Times New Roman" w:eastAsia="Times New Roman" w:hAnsi="Times New Roman" w:cs="Times New Roman"/>
          <w:sz w:val="24"/>
          <w:szCs w:val="24"/>
          <w:lang w:eastAsia="pt-BR"/>
        </w:rPr>
        <w:t xml:space="preserve"> não foram suficientes para alterar os procedimentos de auditoria planejados anteriormente.</w:t>
      </w:r>
    </w:p>
    <w:p w14:paraId="23B667E2" w14:textId="77777777" w:rsidR="001F2898" w:rsidRDefault="001F2898" w:rsidP="00672422">
      <w:pPr>
        <w:ind w:right="119" w:firstLine="0"/>
        <w:jc w:val="both"/>
        <w:rPr>
          <w:rFonts w:ascii="Times New Roman" w:eastAsia="Times New Roman" w:hAnsi="Times New Roman" w:cs="Times New Roman"/>
          <w:sz w:val="24"/>
          <w:szCs w:val="24"/>
          <w:lang w:eastAsia="pt-BR"/>
        </w:rPr>
      </w:pPr>
    </w:p>
    <w:p w14:paraId="27BC0EF0" w14:textId="77777777" w:rsidR="001F2898" w:rsidRDefault="00A61C3A" w:rsidP="004B1E97">
      <w:pPr>
        <w:spacing w:before="240"/>
        <w:ind w:right="120" w:firstLine="0"/>
        <w:jc w:val="both"/>
        <w:rPr>
          <w:rFonts w:ascii="Times New Roman" w:eastAsia="Times New Roman" w:hAnsi="Times New Roman" w:cs="Times New Roman"/>
          <w:sz w:val="24"/>
          <w:szCs w:val="24"/>
          <w:lang w:eastAsia="pt-BR"/>
        </w:rPr>
      </w:pPr>
      <w:bookmarkStart w:id="28" w:name="_Toc67064389"/>
      <w:r w:rsidRPr="001303B8">
        <w:rPr>
          <w:rFonts w:ascii="Times New Roman" w:eastAsia="Times New Roman" w:hAnsi="Times New Roman" w:cs="Times New Roman"/>
          <w:b/>
          <w:bCs/>
          <w:color w:val="000000"/>
          <w:sz w:val="24"/>
          <w:szCs w:val="24"/>
          <w:lang w:eastAsia="pt-BR"/>
        </w:rPr>
        <w:t>II - CRITÉRIOS PARA SELEÇÃO DAS CONTAS SIGNIFICATIVAS</w:t>
      </w:r>
      <w:bookmarkEnd w:id="28"/>
    </w:p>
    <w:p w14:paraId="7495CBC0" w14:textId="77777777" w:rsidR="001F2898" w:rsidRDefault="00A61C3A" w:rsidP="00C44217">
      <w:pPr>
        <w:spacing w:before="240"/>
        <w:ind w:right="120" w:firstLine="708"/>
        <w:jc w:val="both"/>
        <w:rPr>
          <w:rFonts w:ascii="Times New Roman" w:eastAsia="Times New Roman" w:hAnsi="Times New Roman" w:cs="Times New Roman"/>
          <w:sz w:val="24"/>
          <w:szCs w:val="24"/>
          <w:lang w:eastAsia="pt-BR"/>
        </w:rPr>
      </w:pPr>
      <w:r w:rsidRPr="001303B8">
        <w:rPr>
          <w:rFonts w:ascii="Times New Roman" w:eastAsia="Times New Roman" w:hAnsi="Times New Roman" w:cs="Times New Roman"/>
          <w:color w:val="000000"/>
          <w:sz w:val="24"/>
          <w:szCs w:val="24"/>
          <w:lang w:eastAsia="pt-BR"/>
        </w:rPr>
        <w:t>As contas contábeis foram consideradas significativas pela:</w:t>
      </w:r>
    </w:p>
    <w:p w14:paraId="31B6784A" w14:textId="77777777" w:rsidR="001F2898" w:rsidRDefault="00A61C3A" w:rsidP="00C44217">
      <w:pPr>
        <w:spacing w:before="240"/>
        <w:ind w:right="120" w:firstLine="708"/>
        <w:jc w:val="both"/>
        <w:rPr>
          <w:rFonts w:ascii="Times New Roman" w:eastAsia="Times New Roman" w:hAnsi="Times New Roman" w:cs="Times New Roman"/>
          <w:sz w:val="24"/>
          <w:szCs w:val="24"/>
          <w:lang w:eastAsia="pt-BR"/>
        </w:rPr>
      </w:pPr>
      <w:bookmarkStart w:id="29" w:name="_Toc67067930"/>
      <w:bookmarkStart w:id="30" w:name="_Toc67066993"/>
      <w:bookmarkStart w:id="31" w:name="_Toc67064390"/>
      <w:bookmarkEnd w:id="29"/>
      <w:bookmarkEnd w:id="30"/>
      <w:r w:rsidRPr="001303B8">
        <w:rPr>
          <w:rFonts w:ascii="Times New Roman" w:eastAsia="Times New Roman" w:hAnsi="Times New Roman" w:cs="Times New Roman"/>
          <w:b/>
          <w:bCs/>
          <w:color w:val="000000"/>
          <w:sz w:val="24"/>
          <w:szCs w:val="24"/>
          <w:lang w:eastAsia="pt-BR"/>
        </w:rPr>
        <w:t>I- Relevância financeira, quando:</w:t>
      </w:r>
      <w:bookmarkEnd w:id="31"/>
    </w:p>
    <w:p w14:paraId="40318C52" w14:textId="47FC4148" w:rsidR="002F0E10" w:rsidRPr="00C44217" w:rsidRDefault="00A61C3A" w:rsidP="00C44217">
      <w:pPr>
        <w:spacing w:before="240"/>
        <w:ind w:left="708" w:right="120" w:firstLine="0"/>
        <w:jc w:val="both"/>
        <w:rPr>
          <w:rFonts w:ascii="Times New Roman" w:eastAsia="Times New Roman" w:hAnsi="Times New Roman" w:cs="Times New Roman"/>
          <w:color w:val="000000"/>
          <w:sz w:val="24"/>
          <w:szCs w:val="24"/>
          <w:lang w:eastAsia="pt-BR"/>
        </w:rPr>
      </w:pPr>
      <w:r w:rsidRPr="001303B8">
        <w:rPr>
          <w:rFonts w:ascii="Times New Roman" w:eastAsia="Times New Roman" w:hAnsi="Times New Roman" w:cs="Times New Roman"/>
          <w:color w:val="000000"/>
          <w:sz w:val="24"/>
          <w:szCs w:val="24"/>
          <w:lang w:eastAsia="pt-BR"/>
        </w:rPr>
        <w:t>-</w:t>
      </w:r>
      <w:r w:rsidR="006B2A4B">
        <w:rPr>
          <w:rFonts w:ascii="Times New Roman" w:eastAsia="Times New Roman" w:hAnsi="Times New Roman" w:cs="Times New Roman"/>
          <w:color w:val="000000"/>
          <w:sz w:val="24"/>
          <w:szCs w:val="24"/>
          <w:lang w:eastAsia="pt-BR"/>
        </w:rPr>
        <w:t xml:space="preserve"> </w:t>
      </w:r>
      <w:r w:rsidRPr="001303B8">
        <w:rPr>
          <w:rFonts w:ascii="Times New Roman" w:eastAsia="Times New Roman" w:hAnsi="Times New Roman" w:cs="Times New Roman"/>
          <w:color w:val="000000"/>
          <w:sz w:val="24"/>
          <w:szCs w:val="24"/>
          <w:lang w:eastAsia="pt-BR"/>
        </w:rPr>
        <w:t xml:space="preserve"> </w:t>
      </w:r>
      <w:r w:rsidR="006B2A4B">
        <w:rPr>
          <w:rFonts w:ascii="Times New Roman" w:eastAsia="Times New Roman" w:hAnsi="Times New Roman" w:cs="Times New Roman"/>
          <w:color w:val="000000"/>
          <w:sz w:val="24"/>
          <w:szCs w:val="24"/>
          <w:lang w:eastAsia="pt-BR"/>
        </w:rPr>
        <w:t>o</w:t>
      </w:r>
      <w:r w:rsidRPr="001303B8">
        <w:rPr>
          <w:rFonts w:ascii="Times New Roman" w:eastAsia="Times New Roman" w:hAnsi="Times New Roman" w:cs="Times New Roman"/>
          <w:color w:val="000000"/>
          <w:sz w:val="24"/>
          <w:szCs w:val="24"/>
          <w:lang w:eastAsia="pt-BR"/>
        </w:rPr>
        <w:t xml:space="preserve"> seu saldo era maior ou igual ao v</w:t>
      </w:r>
      <w:r w:rsidR="00C173FC">
        <w:rPr>
          <w:rFonts w:ascii="Times New Roman" w:eastAsia="Times New Roman" w:hAnsi="Times New Roman" w:cs="Times New Roman"/>
          <w:color w:val="000000"/>
          <w:sz w:val="24"/>
          <w:szCs w:val="24"/>
          <w:lang w:eastAsia="pt-BR"/>
        </w:rPr>
        <w:t xml:space="preserve">alor da ME </w:t>
      </w:r>
      <w:r w:rsidR="002070A7">
        <w:rPr>
          <w:rFonts w:ascii="Times New Roman" w:eastAsia="Times New Roman" w:hAnsi="Times New Roman" w:cs="Times New Roman"/>
          <w:color w:val="000000"/>
          <w:sz w:val="24"/>
          <w:szCs w:val="24"/>
          <w:lang w:eastAsia="pt-BR"/>
        </w:rPr>
        <w:t>constante da</w:t>
      </w:r>
      <w:r w:rsidR="008E2D65">
        <w:rPr>
          <w:rFonts w:ascii="Times New Roman" w:eastAsia="Times New Roman" w:hAnsi="Times New Roman" w:cs="Times New Roman"/>
          <w:color w:val="000000"/>
          <w:sz w:val="24"/>
          <w:szCs w:val="24"/>
          <w:lang w:eastAsia="pt-BR"/>
        </w:rPr>
        <w:t xml:space="preserve">s </w:t>
      </w:r>
      <w:r w:rsidR="002070A7">
        <w:rPr>
          <w:rFonts w:ascii="Times New Roman" w:eastAsia="Times New Roman" w:hAnsi="Times New Roman" w:cs="Times New Roman"/>
          <w:color w:val="000000"/>
          <w:sz w:val="24"/>
          <w:szCs w:val="24"/>
          <w:lang w:eastAsia="pt-BR"/>
        </w:rPr>
        <w:t xml:space="preserve">Tabela </w:t>
      </w:r>
      <w:r w:rsidR="008E2D65">
        <w:rPr>
          <w:rFonts w:ascii="Times New Roman" w:eastAsia="Times New Roman" w:hAnsi="Times New Roman" w:cs="Times New Roman"/>
          <w:color w:val="000000"/>
          <w:sz w:val="24"/>
          <w:szCs w:val="24"/>
          <w:lang w:eastAsia="pt-BR"/>
        </w:rPr>
        <w:t>6 e 7</w:t>
      </w:r>
      <w:r w:rsidRPr="001303B8">
        <w:rPr>
          <w:rFonts w:ascii="Times New Roman" w:eastAsia="Times New Roman" w:hAnsi="Times New Roman" w:cs="Times New Roman"/>
          <w:color w:val="000000"/>
          <w:sz w:val="24"/>
          <w:szCs w:val="24"/>
          <w:lang w:eastAsia="pt-BR"/>
        </w:rPr>
        <w:t>, considerando ainda o julgamento profissional da equipe</w:t>
      </w:r>
      <w:bookmarkStart w:id="32" w:name="_Toc67067931"/>
      <w:bookmarkStart w:id="33" w:name="_Toc67066994"/>
      <w:bookmarkStart w:id="34" w:name="_Toc67064391"/>
      <w:bookmarkEnd w:id="32"/>
      <w:bookmarkEnd w:id="33"/>
      <w:r w:rsidR="003915D2">
        <w:rPr>
          <w:rFonts w:ascii="Times New Roman" w:eastAsia="Times New Roman" w:hAnsi="Times New Roman" w:cs="Times New Roman"/>
          <w:color w:val="000000"/>
          <w:sz w:val="24"/>
          <w:szCs w:val="24"/>
          <w:lang w:eastAsia="pt-BR"/>
        </w:rPr>
        <w:t xml:space="preserve"> de auditoria</w:t>
      </w:r>
      <w:r w:rsidR="007B049F">
        <w:rPr>
          <w:rFonts w:ascii="Times New Roman" w:eastAsia="Times New Roman" w:hAnsi="Times New Roman" w:cs="Times New Roman"/>
          <w:color w:val="000000"/>
          <w:sz w:val="24"/>
          <w:szCs w:val="24"/>
          <w:lang w:eastAsia="pt-BR"/>
        </w:rPr>
        <w:t>.</w:t>
      </w:r>
    </w:p>
    <w:p w14:paraId="47E0ECAC" w14:textId="77777777" w:rsidR="001F2898" w:rsidRDefault="00A61C3A" w:rsidP="00C44217">
      <w:pPr>
        <w:spacing w:before="240"/>
        <w:ind w:right="120" w:firstLine="708"/>
        <w:jc w:val="both"/>
        <w:rPr>
          <w:rFonts w:ascii="Times New Roman" w:eastAsia="Times New Roman" w:hAnsi="Times New Roman" w:cs="Times New Roman"/>
          <w:sz w:val="24"/>
          <w:szCs w:val="24"/>
          <w:lang w:eastAsia="pt-BR"/>
        </w:rPr>
      </w:pPr>
      <w:r w:rsidRPr="001303B8">
        <w:rPr>
          <w:rFonts w:ascii="Times New Roman" w:eastAsia="Times New Roman" w:hAnsi="Times New Roman" w:cs="Times New Roman"/>
          <w:b/>
          <w:bCs/>
          <w:color w:val="000000"/>
          <w:sz w:val="24"/>
          <w:szCs w:val="24"/>
          <w:lang w:eastAsia="pt-BR"/>
        </w:rPr>
        <w:t>II- Relevância qualitativa, quando:</w:t>
      </w:r>
      <w:bookmarkEnd w:id="34"/>
    </w:p>
    <w:p w14:paraId="1AE455E2" w14:textId="762CD6B1" w:rsidR="001F2898" w:rsidRDefault="00A61C3A" w:rsidP="00C44217">
      <w:pPr>
        <w:spacing w:before="240"/>
        <w:ind w:left="708" w:right="120" w:firstLine="0"/>
        <w:jc w:val="both"/>
        <w:rPr>
          <w:rFonts w:ascii="Times New Roman" w:eastAsia="Times New Roman" w:hAnsi="Times New Roman" w:cs="Times New Roman"/>
          <w:sz w:val="24"/>
          <w:szCs w:val="24"/>
          <w:lang w:eastAsia="pt-BR"/>
        </w:rPr>
      </w:pPr>
      <w:r w:rsidRPr="001303B8">
        <w:rPr>
          <w:rFonts w:ascii="Times New Roman" w:eastAsia="Times New Roman" w:hAnsi="Times New Roman" w:cs="Times New Roman"/>
          <w:color w:val="000000"/>
          <w:sz w:val="24"/>
          <w:szCs w:val="24"/>
          <w:lang w:eastAsia="pt-BR"/>
        </w:rPr>
        <w:t>-</w:t>
      </w:r>
      <w:r w:rsidR="006B2A4B">
        <w:rPr>
          <w:rFonts w:ascii="Times New Roman" w:eastAsia="Times New Roman" w:hAnsi="Times New Roman" w:cs="Times New Roman"/>
          <w:color w:val="000000"/>
          <w:sz w:val="24"/>
          <w:szCs w:val="24"/>
          <w:lang w:eastAsia="pt-BR"/>
        </w:rPr>
        <w:t xml:space="preserve"> o</w:t>
      </w:r>
      <w:r w:rsidRPr="001303B8">
        <w:rPr>
          <w:rFonts w:ascii="Times New Roman" w:eastAsia="Times New Roman" w:hAnsi="Times New Roman" w:cs="Times New Roman"/>
          <w:color w:val="000000"/>
          <w:sz w:val="24"/>
          <w:szCs w:val="24"/>
          <w:lang w:eastAsia="pt-BR"/>
        </w:rPr>
        <w:t xml:space="preserve"> seu saldo era inferior ao valor da ME, mas poderia ser relevante pela natureza ou incluir risco de distorção relevante pelas circunstâncias e/ou fosse relevante pelo cr</w:t>
      </w:r>
      <w:r w:rsidR="006C2C74">
        <w:rPr>
          <w:rFonts w:ascii="Times New Roman" w:eastAsia="Times New Roman" w:hAnsi="Times New Roman" w:cs="Times New Roman"/>
          <w:color w:val="000000"/>
          <w:sz w:val="24"/>
          <w:szCs w:val="24"/>
          <w:lang w:eastAsia="pt-BR"/>
        </w:rPr>
        <w:t>itério de sensibilidade pública; e</w:t>
      </w:r>
    </w:p>
    <w:p w14:paraId="44BF78F2" w14:textId="77777777" w:rsidR="00A14C9A" w:rsidRPr="00C44217" w:rsidRDefault="00A61C3A" w:rsidP="00C44217">
      <w:pPr>
        <w:spacing w:before="240"/>
        <w:ind w:left="708" w:right="120" w:firstLine="0"/>
        <w:jc w:val="both"/>
        <w:rPr>
          <w:rFonts w:ascii="Times New Roman" w:eastAsia="Times New Roman" w:hAnsi="Times New Roman" w:cs="Times New Roman"/>
          <w:sz w:val="24"/>
          <w:szCs w:val="24"/>
          <w:lang w:eastAsia="pt-BR"/>
        </w:rPr>
      </w:pPr>
      <w:r w:rsidRPr="001303B8">
        <w:rPr>
          <w:rFonts w:ascii="Times New Roman" w:eastAsia="Times New Roman" w:hAnsi="Times New Roman" w:cs="Times New Roman"/>
          <w:color w:val="000000"/>
          <w:sz w:val="24"/>
          <w:szCs w:val="24"/>
          <w:lang w:eastAsia="pt-BR"/>
        </w:rPr>
        <w:t>- compuseram os ciclos contábeis selecionados pela equipe de auditoria.</w:t>
      </w:r>
    </w:p>
    <w:p w14:paraId="008FBE73" w14:textId="4F7E50E8" w:rsidR="00B12177" w:rsidRDefault="00800BEA" w:rsidP="005F5528">
      <w:pPr>
        <w:spacing w:before="240"/>
        <w:ind w:right="120" w:firstLine="708"/>
        <w:jc w:val="both"/>
        <w:rPr>
          <w:rFonts w:ascii="Times New Roman" w:eastAsia="Times New Roman" w:hAnsi="Times New Roman" w:cs="Times New Roman"/>
          <w:color w:val="000000"/>
          <w:sz w:val="24"/>
          <w:szCs w:val="24"/>
          <w:lang w:eastAsia="pt-BR"/>
        </w:rPr>
      </w:pPr>
      <w:r w:rsidRPr="00800BEA">
        <w:rPr>
          <w:rFonts w:ascii="Times New Roman" w:eastAsia="Times New Roman" w:hAnsi="Times New Roman" w:cs="Times New Roman"/>
          <w:color w:val="000000"/>
          <w:sz w:val="24"/>
          <w:szCs w:val="24"/>
          <w:lang w:eastAsia="pt-BR"/>
        </w:rPr>
        <w:t xml:space="preserve">As </w:t>
      </w:r>
      <w:r w:rsidR="00FC1593">
        <w:rPr>
          <w:rFonts w:ascii="Times New Roman" w:eastAsia="Times New Roman" w:hAnsi="Times New Roman" w:cs="Times New Roman"/>
          <w:color w:val="000000"/>
          <w:sz w:val="24"/>
          <w:szCs w:val="24"/>
          <w:lang w:eastAsia="pt-BR"/>
        </w:rPr>
        <w:t xml:space="preserve">contas contábeis </w:t>
      </w:r>
      <w:r w:rsidRPr="00800BEA">
        <w:rPr>
          <w:rFonts w:ascii="Times New Roman" w:eastAsia="Times New Roman" w:hAnsi="Times New Roman" w:cs="Times New Roman"/>
          <w:color w:val="000000"/>
          <w:sz w:val="24"/>
          <w:szCs w:val="24"/>
          <w:lang w:eastAsia="pt-BR"/>
        </w:rPr>
        <w:t>selecionad</w:t>
      </w:r>
      <w:r w:rsidR="00FC1593">
        <w:rPr>
          <w:rFonts w:ascii="Times New Roman" w:eastAsia="Times New Roman" w:hAnsi="Times New Roman" w:cs="Times New Roman"/>
          <w:color w:val="000000"/>
          <w:sz w:val="24"/>
          <w:szCs w:val="24"/>
          <w:lang w:eastAsia="pt-BR"/>
        </w:rPr>
        <w:t>as pela relevância quantitativa</w:t>
      </w:r>
      <w:r w:rsidR="003B2DB7">
        <w:rPr>
          <w:rFonts w:ascii="Times New Roman" w:eastAsia="Times New Roman" w:hAnsi="Times New Roman" w:cs="Times New Roman"/>
          <w:color w:val="000000"/>
          <w:sz w:val="24"/>
          <w:szCs w:val="24"/>
          <w:lang w:eastAsia="pt-BR"/>
        </w:rPr>
        <w:t xml:space="preserve"> são</w:t>
      </w:r>
      <w:r w:rsidRPr="00800BEA">
        <w:rPr>
          <w:rFonts w:ascii="Times New Roman" w:eastAsia="Times New Roman" w:hAnsi="Times New Roman" w:cs="Times New Roman"/>
          <w:color w:val="000000"/>
          <w:sz w:val="24"/>
          <w:szCs w:val="24"/>
          <w:lang w:eastAsia="pt-BR"/>
        </w:rPr>
        <w:t xml:space="preserve"> as contas que fazem parte do ciclo de despesa com pessoal</w:t>
      </w:r>
      <w:r w:rsidR="00A61C3A" w:rsidRPr="001303B8">
        <w:rPr>
          <w:rFonts w:ascii="Times New Roman" w:eastAsia="Times New Roman" w:hAnsi="Times New Roman" w:cs="Times New Roman"/>
          <w:color w:val="000000"/>
          <w:sz w:val="24"/>
          <w:szCs w:val="24"/>
          <w:lang w:eastAsia="pt-BR"/>
        </w:rPr>
        <w:t>, do ciclo das contratações</w:t>
      </w:r>
      <w:r w:rsidR="003B2DB7">
        <w:rPr>
          <w:rFonts w:ascii="Times New Roman" w:eastAsia="Times New Roman" w:hAnsi="Times New Roman" w:cs="Times New Roman"/>
          <w:color w:val="000000"/>
          <w:sz w:val="24"/>
          <w:szCs w:val="24"/>
          <w:lang w:eastAsia="pt-BR"/>
        </w:rPr>
        <w:t xml:space="preserve">, </w:t>
      </w:r>
      <w:r w:rsidR="00AB54D0">
        <w:rPr>
          <w:rFonts w:ascii="Times New Roman" w:eastAsia="Times New Roman" w:hAnsi="Times New Roman" w:cs="Times New Roman"/>
          <w:color w:val="000000"/>
          <w:sz w:val="24"/>
          <w:szCs w:val="24"/>
          <w:lang w:eastAsia="pt-BR"/>
        </w:rPr>
        <w:t>d</w:t>
      </w:r>
      <w:r w:rsidR="00A61C3A" w:rsidRPr="001303B8">
        <w:rPr>
          <w:rFonts w:ascii="Times New Roman" w:eastAsia="Times New Roman" w:hAnsi="Times New Roman" w:cs="Times New Roman"/>
          <w:color w:val="000000"/>
          <w:sz w:val="24"/>
          <w:szCs w:val="24"/>
          <w:lang w:eastAsia="pt-BR"/>
        </w:rPr>
        <w:t xml:space="preserve">o ciclo do patrimônio </w:t>
      </w:r>
      <w:r w:rsidR="003B2DB7">
        <w:rPr>
          <w:rFonts w:ascii="Times New Roman" w:eastAsia="Times New Roman" w:hAnsi="Times New Roman" w:cs="Times New Roman"/>
          <w:color w:val="000000"/>
          <w:sz w:val="24"/>
          <w:szCs w:val="24"/>
          <w:lang w:eastAsia="pt-BR"/>
        </w:rPr>
        <w:t>e do ciclo de precatórios e RPVs</w:t>
      </w:r>
      <w:r w:rsidR="00A61C3A" w:rsidRPr="001303B8">
        <w:rPr>
          <w:rFonts w:ascii="Times New Roman" w:eastAsia="Times New Roman" w:hAnsi="Times New Roman" w:cs="Times New Roman"/>
          <w:color w:val="000000"/>
          <w:sz w:val="24"/>
          <w:szCs w:val="24"/>
          <w:lang w:eastAsia="pt-BR"/>
        </w:rPr>
        <w:t>, evidenciadas na</w:t>
      </w:r>
      <w:r w:rsidR="00803EFE">
        <w:rPr>
          <w:rFonts w:ascii="Times New Roman" w:eastAsia="Times New Roman" w:hAnsi="Times New Roman" w:cs="Times New Roman"/>
          <w:color w:val="000000"/>
          <w:sz w:val="24"/>
          <w:szCs w:val="24"/>
          <w:lang w:eastAsia="pt-BR"/>
        </w:rPr>
        <w:t>s</w:t>
      </w:r>
      <w:r w:rsidR="00A61C3A" w:rsidRPr="001303B8">
        <w:rPr>
          <w:rFonts w:ascii="Times New Roman" w:eastAsia="Times New Roman" w:hAnsi="Times New Roman" w:cs="Times New Roman"/>
          <w:color w:val="000000"/>
          <w:sz w:val="24"/>
          <w:szCs w:val="24"/>
          <w:lang w:eastAsia="pt-BR"/>
        </w:rPr>
        <w:t xml:space="preserve"> Tabela</w:t>
      </w:r>
      <w:r w:rsidR="00103A90">
        <w:rPr>
          <w:rFonts w:ascii="Times New Roman" w:eastAsia="Times New Roman" w:hAnsi="Times New Roman" w:cs="Times New Roman"/>
          <w:color w:val="000000"/>
          <w:sz w:val="24"/>
          <w:szCs w:val="24"/>
          <w:lang w:eastAsia="pt-BR"/>
        </w:rPr>
        <w:t>s</w:t>
      </w:r>
      <w:r w:rsidR="007433B5">
        <w:rPr>
          <w:rFonts w:ascii="Times New Roman" w:eastAsia="Times New Roman" w:hAnsi="Times New Roman" w:cs="Times New Roman"/>
          <w:color w:val="000000"/>
          <w:sz w:val="24"/>
          <w:szCs w:val="24"/>
          <w:lang w:eastAsia="pt-BR"/>
        </w:rPr>
        <w:t xml:space="preserve"> </w:t>
      </w:r>
      <w:r w:rsidR="00DD7DC3">
        <w:rPr>
          <w:rFonts w:ascii="Times New Roman" w:eastAsia="Times New Roman" w:hAnsi="Times New Roman" w:cs="Times New Roman"/>
          <w:color w:val="000000"/>
          <w:sz w:val="24"/>
          <w:szCs w:val="24"/>
          <w:lang w:eastAsia="pt-BR"/>
        </w:rPr>
        <w:t>6</w:t>
      </w:r>
      <w:r w:rsidR="007433B5">
        <w:rPr>
          <w:rFonts w:ascii="Times New Roman" w:eastAsia="Times New Roman" w:hAnsi="Times New Roman" w:cs="Times New Roman"/>
          <w:color w:val="000000"/>
          <w:sz w:val="24"/>
          <w:szCs w:val="24"/>
          <w:lang w:eastAsia="pt-BR"/>
        </w:rPr>
        <w:t xml:space="preserve"> e </w:t>
      </w:r>
      <w:r w:rsidR="00DD7DC3">
        <w:rPr>
          <w:rFonts w:ascii="Times New Roman" w:eastAsia="Times New Roman" w:hAnsi="Times New Roman" w:cs="Times New Roman"/>
          <w:color w:val="000000"/>
          <w:sz w:val="24"/>
          <w:szCs w:val="24"/>
          <w:lang w:eastAsia="pt-BR"/>
        </w:rPr>
        <w:t>7</w:t>
      </w:r>
      <w:r w:rsidR="00C3100F">
        <w:rPr>
          <w:rFonts w:ascii="Times New Roman" w:eastAsia="Times New Roman" w:hAnsi="Times New Roman" w:cs="Times New Roman"/>
          <w:color w:val="000000"/>
          <w:sz w:val="24"/>
          <w:szCs w:val="24"/>
          <w:lang w:eastAsia="pt-BR"/>
        </w:rPr>
        <w:t>, abaixo</w:t>
      </w:r>
      <w:r w:rsidR="00A61C3A" w:rsidRPr="001303B8">
        <w:rPr>
          <w:rFonts w:ascii="Times New Roman" w:eastAsia="Times New Roman" w:hAnsi="Times New Roman" w:cs="Times New Roman"/>
          <w:color w:val="000000"/>
          <w:sz w:val="24"/>
          <w:szCs w:val="24"/>
          <w:lang w:eastAsia="pt-BR"/>
        </w:rPr>
        <w:t>. Após a definição da materialidade, foi estabelecido o entendimento do contexto e do objeto relacionado aos ciclos citados anteriormente</w:t>
      </w:r>
      <w:r w:rsidR="006714DF">
        <w:rPr>
          <w:rFonts w:ascii="Times New Roman" w:eastAsia="Times New Roman" w:hAnsi="Times New Roman" w:cs="Times New Roman"/>
          <w:color w:val="000000"/>
          <w:sz w:val="24"/>
          <w:szCs w:val="24"/>
          <w:lang w:eastAsia="pt-BR"/>
        </w:rPr>
        <w:t>,</w:t>
      </w:r>
      <w:r w:rsidR="00A61C3A" w:rsidRPr="001303B8">
        <w:rPr>
          <w:rFonts w:ascii="Times New Roman" w:eastAsia="Times New Roman" w:hAnsi="Times New Roman" w:cs="Times New Roman"/>
          <w:color w:val="000000"/>
          <w:sz w:val="24"/>
          <w:szCs w:val="24"/>
          <w:lang w:eastAsia="pt-BR"/>
        </w:rPr>
        <w:t xml:space="preserve"> e foram levantados riscos inerentes para cada um desses ciclos, conforme as afirmações de</w:t>
      </w:r>
      <w:r w:rsidR="00C71C27">
        <w:rPr>
          <w:rFonts w:ascii="Times New Roman" w:eastAsia="Times New Roman" w:hAnsi="Times New Roman" w:cs="Times New Roman"/>
          <w:color w:val="000000"/>
          <w:sz w:val="24"/>
          <w:szCs w:val="24"/>
          <w:lang w:eastAsia="pt-BR"/>
        </w:rPr>
        <w:t xml:space="preserve"> Existência/Ocorrência, Integridade, Precisão</w:t>
      </w:r>
      <w:r w:rsidR="00A61C3A" w:rsidRPr="001303B8">
        <w:rPr>
          <w:rFonts w:ascii="Times New Roman" w:eastAsia="Times New Roman" w:hAnsi="Times New Roman" w:cs="Times New Roman"/>
          <w:color w:val="000000"/>
          <w:sz w:val="24"/>
          <w:szCs w:val="24"/>
          <w:lang w:eastAsia="pt-BR"/>
        </w:rPr>
        <w:t>, Corte, Classificação, Direitos e Obrigações e Conformidade.</w:t>
      </w:r>
    </w:p>
    <w:p w14:paraId="2589EFC9" w14:textId="77777777" w:rsidR="005F5528" w:rsidRPr="005F5528" w:rsidRDefault="005F5528" w:rsidP="005F5528">
      <w:pPr>
        <w:spacing w:before="240"/>
        <w:ind w:right="120" w:firstLine="708"/>
        <w:jc w:val="both"/>
        <w:rPr>
          <w:rFonts w:ascii="Times New Roman" w:eastAsia="Times New Roman" w:hAnsi="Times New Roman" w:cs="Times New Roman"/>
          <w:color w:val="000000"/>
          <w:sz w:val="24"/>
          <w:szCs w:val="24"/>
          <w:lang w:eastAsia="pt-BR"/>
        </w:rPr>
      </w:pPr>
    </w:p>
    <w:p w14:paraId="37C0B9BA" w14:textId="3A6FBF1B" w:rsidR="00A61C3A" w:rsidRPr="00624D58" w:rsidRDefault="00A61C3A" w:rsidP="005F5528">
      <w:pPr>
        <w:ind w:right="120" w:firstLine="0"/>
        <w:jc w:val="center"/>
        <w:rPr>
          <w:rFonts w:ascii="Times New Roman" w:eastAsia="Times New Roman" w:hAnsi="Times New Roman" w:cs="Times New Roman"/>
          <w:sz w:val="20"/>
          <w:szCs w:val="20"/>
          <w:lang w:eastAsia="pt-BR"/>
        </w:rPr>
      </w:pPr>
      <w:r w:rsidRPr="00624D58">
        <w:rPr>
          <w:rFonts w:ascii="Times New Roman" w:eastAsia="Times New Roman" w:hAnsi="Times New Roman" w:cs="Times New Roman"/>
          <w:b/>
          <w:bCs/>
          <w:color w:val="000000"/>
          <w:sz w:val="20"/>
          <w:szCs w:val="20"/>
          <w:lang w:eastAsia="pt-BR"/>
        </w:rPr>
        <w:t xml:space="preserve">Tabela </w:t>
      </w:r>
      <w:r w:rsidR="00DD7DC3">
        <w:rPr>
          <w:rFonts w:ascii="Times New Roman" w:eastAsia="Times New Roman" w:hAnsi="Times New Roman" w:cs="Times New Roman"/>
          <w:b/>
          <w:bCs/>
          <w:color w:val="000000"/>
          <w:sz w:val="20"/>
          <w:szCs w:val="20"/>
          <w:lang w:eastAsia="pt-BR"/>
        </w:rPr>
        <w:t>6</w:t>
      </w:r>
      <w:r w:rsidRPr="00624D58">
        <w:rPr>
          <w:rFonts w:ascii="Times New Roman" w:eastAsia="Times New Roman" w:hAnsi="Times New Roman" w:cs="Times New Roman"/>
          <w:b/>
          <w:bCs/>
          <w:color w:val="000000"/>
          <w:sz w:val="20"/>
          <w:szCs w:val="20"/>
          <w:lang w:eastAsia="pt-BR"/>
        </w:rPr>
        <w:t xml:space="preserve"> – Contas significativas por relevância fi</w:t>
      </w:r>
      <w:r w:rsidR="002E1BDE" w:rsidRPr="00624D58">
        <w:rPr>
          <w:rFonts w:ascii="Times New Roman" w:eastAsia="Times New Roman" w:hAnsi="Times New Roman" w:cs="Times New Roman"/>
          <w:b/>
          <w:bCs/>
          <w:color w:val="000000"/>
          <w:sz w:val="20"/>
          <w:szCs w:val="20"/>
          <w:lang w:eastAsia="pt-BR"/>
        </w:rPr>
        <w:t xml:space="preserve">nanceira </w:t>
      </w:r>
      <w:r w:rsidR="00502B67" w:rsidRPr="00624D58">
        <w:rPr>
          <w:rFonts w:ascii="Times New Roman" w:eastAsia="Times New Roman" w:hAnsi="Times New Roman" w:cs="Times New Roman"/>
          <w:b/>
          <w:bCs/>
          <w:color w:val="000000"/>
          <w:sz w:val="20"/>
          <w:szCs w:val="20"/>
          <w:lang w:eastAsia="pt-BR"/>
        </w:rPr>
        <w:t xml:space="preserve">(≥ que ME) – </w:t>
      </w:r>
      <w:r w:rsidR="00B461C9">
        <w:rPr>
          <w:rFonts w:ascii="Times New Roman" w:eastAsia="Times New Roman" w:hAnsi="Times New Roman" w:cs="Times New Roman"/>
          <w:b/>
          <w:bCs/>
          <w:color w:val="000000"/>
          <w:sz w:val="20"/>
          <w:szCs w:val="20"/>
          <w:lang w:eastAsia="pt-BR"/>
        </w:rPr>
        <w:t>j</w:t>
      </w:r>
      <w:r w:rsidR="00502B67" w:rsidRPr="00624D58">
        <w:rPr>
          <w:rFonts w:ascii="Times New Roman" w:eastAsia="Times New Roman" w:hAnsi="Times New Roman" w:cs="Times New Roman"/>
          <w:b/>
          <w:bCs/>
          <w:color w:val="000000"/>
          <w:sz w:val="20"/>
          <w:szCs w:val="20"/>
          <w:lang w:eastAsia="pt-BR"/>
        </w:rPr>
        <w:t>ulho/202</w:t>
      </w:r>
      <w:r w:rsidR="00722830">
        <w:rPr>
          <w:rFonts w:ascii="Times New Roman" w:eastAsia="Times New Roman" w:hAnsi="Times New Roman" w:cs="Times New Roman"/>
          <w:b/>
          <w:bCs/>
          <w:color w:val="000000"/>
          <w:sz w:val="20"/>
          <w:szCs w:val="20"/>
          <w:lang w:eastAsia="pt-BR"/>
        </w:rPr>
        <w:t>5</w:t>
      </w:r>
      <w:r w:rsidRPr="00624D58">
        <w:rPr>
          <w:rFonts w:ascii="Times New Roman" w:eastAsia="Times New Roman" w:hAnsi="Times New Roman" w:cs="Times New Roman"/>
          <w:b/>
          <w:bCs/>
          <w:color w:val="000000"/>
          <w:sz w:val="20"/>
          <w:szCs w:val="20"/>
          <w:lang w:eastAsia="pt-BR"/>
        </w:rPr>
        <w:t xml:space="preserve"> - Escopo</w:t>
      </w:r>
    </w:p>
    <w:tbl>
      <w:tblPr>
        <w:tblW w:w="0" w:type="auto"/>
        <w:jc w:val="center"/>
        <w:tblLayout w:type="fixed"/>
        <w:tblCellMar>
          <w:left w:w="70" w:type="dxa"/>
          <w:right w:w="70" w:type="dxa"/>
        </w:tblCellMar>
        <w:tblLook w:val="04A0" w:firstRow="1" w:lastRow="0" w:firstColumn="1" w:lastColumn="0" w:noHBand="0" w:noVBand="1"/>
      </w:tblPr>
      <w:tblGrid>
        <w:gridCol w:w="502"/>
        <w:gridCol w:w="1422"/>
        <w:gridCol w:w="3458"/>
        <w:gridCol w:w="1984"/>
        <w:gridCol w:w="1701"/>
      </w:tblGrid>
      <w:tr w:rsidR="00D35273" w:rsidRPr="00D35273" w14:paraId="7C2B509D" w14:textId="77777777" w:rsidTr="006F51BE">
        <w:trPr>
          <w:trHeight w:val="640"/>
          <w:jc w:val="center"/>
        </w:trPr>
        <w:tc>
          <w:tcPr>
            <w:tcW w:w="502"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D8D5FF0" w14:textId="77777777" w:rsidR="00D35273" w:rsidRPr="00D35273" w:rsidRDefault="00D35273" w:rsidP="00D35273">
            <w:pPr>
              <w:ind w:firstLine="0"/>
              <w:jc w:val="center"/>
              <w:rPr>
                <w:rFonts w:ascii="Times New Roman" w:eastAsia="Times New Roman" w:hAnsi="Times New Roman" w:cs="Times New Roman"/>
                <w:b/>
                <w:bCs/>
                <w:color w:val="000000"/>
                <w:sz w:val="20"/>
                <w:szCs w:val="20"/>
                <w:lang w:eastAsia="pt-BR"/>
              </w:rPr>
            </w:pPr>
            <w:r w:rsidRPr="00D35273">
              <w:rPr>
                <w:rFonts w:ascii="Times New Roman" w:eastAsia="Times New Roman" w:hAnsi="Times New Roman" w:cs="Times New Roman"/>
                <w:b/>
                <w:bCs/>
                <w:color w:val="000000"/>
                <w:sz w:val="20"/>
                <w:szCs w:val="20"/>
                <w:lang w:eastAsia="pt-BR"/>
              </w:rPr>
              <w:t>Seq.</w:t>
            </w:r>
          </w:p>
        </w:tc>
        <w:tc>
          <w:tcPr>
            <w:tcW w:w="1422" w:type="dxa"/>
            <w:tcBorders>
              <w:top w:val="single" w:sz="4" w:space="0" w:color="auto"/>
              <w:left w:val="nil"/>
              <w:bottom w:val="single" w:sz="4" w:space="0" w:color="auto"/>
              <w:right w:val="single" w:sz="4" w:space="0" w:color="auto"/>
            </w:tcBorders>
            <w:shd w:val="clear" w:color="000000" w:fill="E6E6E6"/>
            <w:vAlign w:val="center"/>
            <w:hideMark/>
          </w:tcPr>
          <w:p w14:paraId="73A65B38" w14:textId="77777777" w:rsidR="00D35273" w:rsidRPr="00D35273" w:rsidRDefault="00D35273" w:rsidP="00D35273">
            <w:pPr>
              <w:ind w:firstLine="0"/>
              <w:jc w:val="center"/>
              <w:rPr>
                <w:rFonts w:ascii="Times New Roman" w:eastAsia="Times New Roman" w:hAnsi="Times New Roman" w:cs="Times New Roman"/>
                <w:b/>
                <w:bCs/>
                <w:color w:val="000000"/>
                <w:sz w:val="20"/>
                <w:szCs w:val="20"/>
                <w:lang w:eastAsia="pt-BR"/>
              </w:rPr>
            </w:pPr>
            <w:r w:rsidRPr="00D35273">
              <w:rPr>
                <w:rFonts w:ascii="Times New Roman" w:eastAsia="Times New Roman" w:hAnsi="Times New Roman" w:cs="Times New Roman"/>
                <w:b/>
                <w:bCs/>
                <w:color w:val="000000"/>
                <w:sz w:val="20"/>
                <w:szCs w:val="20"/>
                <w:lang w:eastAsia="pt-BR"/>
              </w:rPr>
              <w:t>Código da conta</w:t>
            </w:r>
          </w:p>
        </w:tc>
        <w:tc>
          <w:tcPr>
            <w:tcW w:w="3458" w:type="dxa"/>
            <w:tcBorders>
              <w:top w:val="single" w:sz="4" w:space="0" w:color="auto"/>
              <w:left w:val="nil"/>
              <w:bottom w:val="single" w:sz="4" w:space="0" w:color="auto"/>
              <w:right w:val="single" w:sz="4" w:space="0" w:color="auto"/>
            </w:tcBorders>
            <w:shd w:val="clear" w:color="000000" w:fill="E6E6E6"/>
            <w:vAlign w:val="center"/>
            <w:hideMark/>
          </w:tcPr>
          <w:p w14:paraId="500655CD" w14:textId="77777777" w:rsidR="00D35273" w:rsidRPr="00D35273" w:rsidRDefault="00D35273" w:rsidP="00D35273">
            <w:pPr>
              <w:ind w:firstLine="0"/>
              <w:jc w:val="center"/>
              <w:rPr>
                <w:rFonts w:ascii="Times New Roman" w:eastAsia="Times New Roman" w:hAnsi="Times New Roman" w:cs="Times New Roman"/>
                <w:b/>
                <w:bCs/>
                <w:color w:val="000000"/>
                <w:sz w:val="20"/>
                <w:szCs w:val="20"/>
                <w:lang w:eastAsia="pt-BR"/>
              </w:rPr>
            </w:pPr>
            <w:r w:rsidRPr="00D35273">
              <w:rPr>
                <w:rFonts w:ascii="Times New Roman" w:eastAsia="Times New Roman" w:hAnsi="Times New Roman" w:cs="Times New Roman"/>
                <w:b/>
                <w:bCs/>
                <w:color w:val="000000"/>
                <w:sz w:val="20"/>
                <w:szCs w:val="20"/>
                <w:lang w:eastAsia="pt-BR"/>
              </w:rPr>
              <w:t>Descrição Conta contábil</w:t>
            </w:r>
          </w:p>
        </w:tc>
        <w:tc>
          <w:tcPr>
            <w:tcW w:w="1984" w:type="dxa"/>
            <w:tcBorders>
              <w:top w:val="single" w:sz="4" w:space="0" w:color="auto"/>
              <w:left w:val="nil"/>
              <w:bottom w:val="single" w:sz="4" w:space="0" w:color="auto"/>
              <w:right w:val="single" w:sz="4" w:space="0" w:color="auto"/>
            </w:tcBorders>
            <w:shd w:val="clear" w:color="000000" w:fill="E6E6E6"/>
            <w:vAlign w:val="center"/>
            <w:hideMark/>
          </w:tcPr>
          <w:p w14:paraId="1E166707" w14:textId="77777777" w:rsidR="00D35273" w:rsidRPr="00D35273" w:rsidRDefault="00D35273" w:rsidP="00D35273">
            <w:pPr>
              <w:ind w:firstLine="0"/>
              <w:jc w:val="center"/>
              <w:rPr>
                <w:rFonts w:ascii="Times New Roman" w:eastAsia="Times New Roman" w:hAnsi="Times New Roman" w:cs="Times New Roman"/>
                <w:b/>
                <w:bCs/>
                <w:color w:val="000000"/>
                <w:sz w:val="20"/>
                <w:szCs w:val="20"/>
                <w:lang w:eastAsia="pt-BR"/>
              </w:rPr>
            </w:pPr>
            <w:r w:rsidRPr="00D35273">
              <w:rPr>
                <w:rFonts w:ascii="Times New Roman" w:eastAsia="Times New Roman" w:hAnsi="Times New Roman" w:cs="Times New Roman"/>
                <w:b/>
                <w:bCs/>
                <w:color w:val="000000"/>
                <w:sz w:val="20"/>
                <w:szCs w:val="20"/>
                <w:lang w:eastAsia="pt-BR"/>
              </w:rPr>
              <w:t>Valor monetário da conta ou saldo (R$)</w:t>
            </w:r>
          </w:p>
        </w:tc>
        <w:tc>
          <w:tcPr>
            <w:tcW w:w="1701" w:type="dxa"/>
            <w:tcBorders>
              <w:top w:val="single" w:sz="4" w:space="0" w:color="auto"/>
              <w:left w:val="nil"/>
              <w:bottom w:val="single" w:sz="4" w:space="0" w:color="auto"/>
              <w:right w:val="single" w:sz="4" w:space="0" w:color="auto"/>
            </w:tcBorders>
            <w:shd w:val="clear" w:color="000000" w:fill="E6E6E6"/>
            <w:vAlign w:val="center"/>
            <w:hideMark/>
          </w:tcPr>
          <w:p w14:paraId="5C7B2AF1" w14:textId="77777777" w:rsidR="00D35273" w:rsidRPr="00D35273" w:rsidRDefault="00D35273" w:rsidP="00D35273">
            <w:pPr>
              <w:ind w:firstLine="0"/>
              <w:jc w:val="center"/>
              <w:rPr>
                <w:rFonts w:ascii="Times New Roman" w:eastAsia="Times New Roman" w:hAnsi="Times New Roman" w:cs="Times New Roman"/>
                <w:b/>
                <w:bCs/>
                <w:color w:val="000000"/>
                <w:sz w:val="20"/>
                <w:szCs w:val="20"/>
                <w:lang w:eastAsia="pt-BR"/>
              </w:rPr>
            </w:pPr>
            <w:r w:rsidRPr="00D35273">
              <w:rPr>
                <w:rFonts w:ascii="Times New Roman" w:eastAsia="Times New Roman" w:hAnsi="Times New Roman" w:cs="Times New Roman"/>
                <w:b/>
                <w:bCs/>
                <w:color w:val="000000"/>
                <w:sz w:val="20"/>
                <w:szCs w:val="20"/>
                <w:lang w:eastAsia="pt-BR"/>
              </w:rPr>
              <w:t>Ciclo Contábil</w:t>
            </w:r>
          </w:p>
        </w:tc>
      </w:tr>
      <w:tr w:rsidR="00D35273" w:rsidRPr="00D35273" w14:paraId="76C192E4" w14:textId="77777777" w:rsidTr="006F51BE">
        <w:trPr>
          <w:trHeight w:val="263"/>
          <w:jc w:val="center"/>
        </w:trPr>
        <w:tc>
          <w:tcPr>
            <w:tcW w:w="502" w:type="dxa"/>
            <w:tcBorders>
              <w:top w:val="nil"/>
              <w:left w:val="single" w:sz="4" w:space="0" w:color="auto"/>
              <w:bottom w:val="single" w:sz="4" w:space="0" w:color="auto"/>
              <w:right w:val="single" w:sz="4" w:space="0" w:color="auto"/>
            </w:tcBorders>
            <w:vAlign w:val="center"/>
            <w:hideMark/>
          </w:tcPr>
          <w:p w14:paraId="24C09AE9"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1</w:t>
            </w:r>
          </w:p>
        </w:tc>
        <w:tc>
          <w:tcPr>
            <w:tcW w:w="1422" w:type="dxa"/>
            <w:tcBorders>
              <w:top w:val="nil"/>
              <w:left w:val="nil"/>
              <w:bottom w:val="single" w:sz="4" w:space="0" w:color="auto"/>
              <w:right w:val="single" w:sz="4" w:space="0" w:color="auto"/>
            </w:tcBorders>
            <w:vAlign w:val="center"/>
            <w:hideMark/>
          </w:tcPr>
          <w:p w14:paraId="0C03AA80"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123110201</w:t>
            </w:r>
          </w:p>
        </w:tc>
        <w:tc>
          <w:tcPr>
            <w:tcW w:w="3458" w:type="dxa"/>
            <w:tcBorders>
              <w:top w:val="nil"/>
              <w:left w:val="nil"/>
              <w:bottom w:val="single" w:sz="4" w:space="0" w:color="auto"/>
              <w:right w:val="single" w:sz="4" w:space="0" w:color="auto"/>
            </w:tcBorders>
            <w:vAlign w:val="center"/>
            <w:hideMark/>
          </w:tcPr>
          <w:p w14:paraId="03B0996A" w14:textId="5A291946" w:rsidR="00D35273" w:rsidRPr="00D35273" w:rsidRDefault="00D35273" w:rsidP="00D35273">
            <w:pPr>
              <w:ind w:firstLine="0"/>
              <w:jc w:val="both"/>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 xml:space="preserve">Equipamentos de </w:t>
            </w:r>
            <w:r>
              <w:rPr>
                <w:rFonts w:ascii="Times New Roman" w:eastAsia="Times New Roman" w:hAnsi="Times New Roman" w:cs="Times New Roman"/>
                <w:color w:val="000000"/>
                <w:sz w:val="20"/>
                <w:szCs w:val="20"/>
                <w:lang w:eastAsia="pt-BR"/>
              </w:rPr>
              <w:t>TIC</w:t>
            </w:r>
          </w:p>
        </w:tc>
        <w:tc>
          <w:tcPr>
            <w:tcW w:w="1984" w:type="dxa"/>
            <w:tcBorders>
              <w:top w:val="nil"/>
              <w:left w:val="nil"/>
              <w:bottom w:val="single" w:sz="4" w:space="0" w:color="auto"/>
              <w:right w:val="single" w:sz="4" w:space="0" w:color="auto"/>
            </w:tcBorders>
            <w:vAlign w:val="center"/>
            <w:hideMark/>
          </w:tcPr>
          <w:p w14:paraId="28FA31BB" w14:textId="77777777" w:rsidR="00D35273" w:rsidRPr="00D35273" w:rsidRDefault="00D35273" w:rsidP="00D35273">
            <w:pPr>
              <w:ind w:firstLine="0"/>
              <w:jc w:val="right"/>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65.268.185,07 </w:t>
            </w:r>
          </w:p>
        </w:tc>
        <w:tc>
          <w:tcPr>
            <w:tcW w:w="1701" w:type="dxa"/>
            <w:tcBorders>
              <w:top w:val="nil"/>
              <w:left w:val="nil"/>
              <w:bottom w:val="single" w:sz="4" w:space="0" w:color="auto"/>
              <w:right w:val="single" w:sz="4" w:space="0" w:color="auto"/>
            </w:tcBorders>
            <w:vAlign w:val="center"/>
            <w:hideMark/>
          </w:tcPr>
          <w:p w14:paraId="21528B95"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Patrimônio</w:t>
            </w:r>
          </w:p>
        </w:tc>
      </w:tr>
      <w:tr w:rsidR="00D35273" w:rsidRPr="00D35273" w14:paraId="5E7735A7" w14:textId="77777777" w:rsidTr="006F51BE">
        <w:trPr>
          <w:trHeight w:val="263"/>
          <w:jc w:val="center"/>
        </w:trPr>
        <w:tc>
          <w:tcPr>
            <w:tcW w:w="502" w:type="dxa"/>
            <w:tcBorders>
              <w:top w:val="nil"/>
              <w:left w:val="single" w:sz="4" w:space="0" w:color="auto"/>
              <w:bottom w:val="single" w:sz="4" w:space="0" w:color="auto"/>
              <w:right w:val="single" w:sz="4" w:space="0" w:color="auto"/>
            </w:tcBorders>
            <w:vAlign w:val="center"/>
            <w:hideMark/>
          </w:tcPr>
          <w:p w14:paraId="7B2D24C5"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2</w:t>
            </w:r>
          </w:p>
        </w:tc>
        <w:tc>
          <w:tcPr>
            <w:tcW w:w="1422" w:type="dxa"/>
            <w:tcBorders>
              <w:top w:val="nil"/>
              <w:left w:val="nil"/>
              <w:bottom w:val="single" w:sz="4" w:space="0" w:color="auto"/>
              <w:right w:val="single" w:sz="4" w:space="0" w:color="auto"/>
            </w:tcBorders>
            <w:vAlign w:val="center"/>
            <w:hideMark/>
          </w:tcPr>
          <w:p w14:paraId="0DE881CC"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211110101</w:t>
            </w:r>
          </w:p>
        </w:tc>
        <w:tc>
          <w:tcPr>
            <w:tcW w:w="3458" w:type="dxa"/>
            <w:tcBorders>
              <w:top w:val="nil"/>
              <w:left w:val="nil"/>
              <w:bottom w:val="single" w:sz="4" w:space="0" w:color="auto"/>
              <w:right w:val="single" w:sz="4" w:space="0" w:color="auto"/>
            </w:tcBorders>
            <w:vAlign w:val="center"/>
            <w:hideMark/>
          </w:tcPr>
          <w:p w14:paraId="2BC815B3" w14:textId="77777777" w:rsidR="00D35273" w:rsidRPr="00D35273" w:rsidRDefault="00D35273" w:rsidP="00D35273">
            <w:pPr>
              <w:ind w:firstLine="0"/>
              <w:jc w:val="both"/>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 Salários, Remunerações e Benefícios</w:t>
            </w:r>
          </w:p>
        </w:tc>
        <w:tc>
          <w:tcPr>
            <w:tcW w:w="1984" w:type="dxa"/>
            <w:tcBorders>
              <w:top w:val="nil"/>
              <w:left w:val="nil"/>
              <w:bottom w:val="single" w:sz="4" w:space="0" w:color="auto"/>
              <w:right w:val="single" w:sz="4" w:space="0" w:color="auto"/>
            </w:tcBorders>
            <w:vAlign w:val="center"/>
            <w:hideMark/>
          </w:tcPr>
          <w:p w14:paraId="35F53C69" w14:textId="77777777" w:rsidR="00D35273" w:rsidRPr="00D35273" w:rsidRDefault="00D35273" w:rsidP="00D35273">
            <w:pPr>
              <w:ind w:firstLine="0"/>
              <w:jc w:val="right"/>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49.129.677,03 </w:t>
            </w:r>
          </w:p>
        </w:tc>
        <w:tc>
          <w:tcPr>
            <w:tcW w:w="1701" w:type="dxa"/>
            <w:tcBorders>
              <w:top w:val="nil"/>
              <w:left w:val="nil"/>
              <w:bottom w:val="single" w:sz="4" w:space="0" w:color="auto"/>
              <w:right w:val="single" w:sz="4" w:space="0" w:color="auto"/>
            </w:tcBorders>
            <w:vAlign w:val="center"/>
            <w:hideMark/>
          </w:tcPr>
          <w:p w14:paraId="1C1B4D75"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Pessoal</w:t>
            </w:r>
          </w:p>
        </w:tc>
      </w:tr>
      <w:tr w:rsidR="00D35273" w:rsidRPr="00D35273" w14:paraId="1EA4E626" w14:textId="77777777" w:rsidTr="006F51BE">
        <w:trPr>
          <w:trHeight w:val="263"/>
          <w:jc w:val="center"/>
        </w:trPr>
        <w:tc>
          <w:tcPr>
            <w:tcW w:w="502" w:type="dxa"/>
            <w:tcBorders>
              <w:top w:val="nil"/>
              <w:left w:val="single" w:sz="4" w:space="0" w:color="auto"/>
              <w:bottom w:val="single" w:sz="4" w:space="0" w:color="auto"/>
              <w:right w:val="single" w:sz="4" w:space="0" w:color="auto"/>
            </w:tcBorders>
            <w:vAlign w:val="center"/>
            <w:hideMark/>
          </w:tcPr>
          <w:p w14:paraId="1E5231B2"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3</w:t>
            </w:r>
          </w:p>
        </w:tc>
        <w:tc>
          <w:tcPr>
            <w:tcW w:w="1422" w:type="dxa"/>
            <w:tcBorders>
              <w:top w:val="nil"/>
              <w:left w:val="nil"/>
              <w:bottom w:val="single" w:sz="4" w:space="0" w:color="auto"/>
              <w:right w:val="single" w:sz="4" w:space="0" w:color="auto"/>
            </w:tcBorders>
            <w:vAlign w:val="center"/>
            <w:hideMark/>
          </w:tcPr>
          <w:p w14:paraId="52492DF7"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311110100</w:t>
            </w:r>
          </w:p>
        </w:tc>
        <w:tc>
          <w:tcPr>
            <w:tcW w:w="3458" w:type="dxa"/>
            <w:tcBorders>
              <w:top w:val="nil"/>
              <w:left w:val="nil"/>
              <w:bottom w:val="single" w:sz="4" w:space="0" w:color="auto"/>
              <w:right w:val="single" w:sz="4" w:space="0" w:color="auto"/>
            </w:tcBorders>
            <w:vAlign w:val="center"/>
            <w:hideMark/>
          </w:tcPr>
          <w:p w14:paraId="5C752E53" w14:textId="77777777" w:rsidR="00D35273" w:rsidRPr="00D35273" w:rsidRDefault="00D35273" w:rsidP="00D35273">
            <w:pPr>
              <w:ind w:firstLine="0"/>
              <w:jc w:val="both"/>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Vencimentos e Salários</w:t>
            </w:r>
          </w:p>
        </w:tc>
        <w:tc>
          <w:tcPr>
            <w:tcW w:w="1984" w:type="dxa"/>
            <w:tcBorders>
              <w:top w:val="nil"/>
              <w:left w:val="nil"/>
              <w:bottom w:val="single" w:sz="4" w:space="0" w:color="auto"/>
              <w:right w:val="single" w:sz="4" w:space="0" w:color="auto"/>
            </w:tcBorders>
            <w:vAlign w:val="center"/>
            <w:hideMark/>
          </w:tcPr>
          <w:p w14:paraId="167F1EF1" w14:textId="77777777" w:rsidR="00D35273" w:rsidRPr="00D35273" w:rsidRDefault="00D35273" w:rsidP="00D35273">
            <w:pPr>
              <w:ind w:firstLine="0"/>
              <w:jc w:val="right"/>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115.288.471,05 </w:t>
            </w:r>
          </w:p>
        </w:tc>
        <w:tc>
          <w:tcPr>
            <w:tcW w:w="1701" w:type="dxa"/>
            <w:tcBorders>
              <w:top w:val="nil"/>
              <w:left w:val="nil"/>
              <w:bottom w:val="single" w:sz="4" w:space="0" w:color="auto"/>
              <w:right w:val="single" w:sz="4" w:space="0" w:color="auto"/>
            </w:tcBorders>
            <w:vAlign w:val="center"/>
            <w:hideMark/>
          </w:tcPr>
          <w:p w14:paraId="25D2AF89"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Pessoal</w:t>
            </w:r>
          </w:p>
        </w:tc>
      </w:tr>
      <w:tr w:rsidR="00D35273" w:rsidRPr="00D35273" w14:paraId="4B14CDAB" w14:textId="77777777" w:rsidTr="006F51BE">
        <w:trPr>
          <w:trHeight w:val="263"/>
          <w:jc w:val="center"/>
        </w:trPr>
        <w:tc>
          <w:tcPr>
            <w:tcW w:w="502" w:type="dxa"/>
            <w:tcBorders>
              <w:top w:val="nil"/>
              <w:left w:val="single" w:sz="4" w:space="0" w:color="auto"/>
              <w:bottom w:val="single" w:sz="4" w:space="0" w:color="auto"/>
              <w:right w:val="single" w:sz="4" w:space="0" w:color="auto"/>
            </w:tcBorders>
            <w:vAlign w:val="center"/>
            <w:hideMark/>
          </w:tcPr>
          <w:p w14:paraId="371E0F4E"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4</w:t>
            </w:r>
          </w:p>
        </w:tc>
        <w:tc>
          <w:tcPr>
            <w:tcW w:w="1422" w:type="dxa"/>
            <w:tcBorders>
              <w:top w:val="nil"/>
              <w:left w:val="nil"/>
              <w:bottom w:val="single" w:sz="4" w:space="0" w:color="auto"/>
              <w:right w:val="single" w:sz="4" w:space="0" w:color="auto"/>
            </w:tcBorders>
            <w:vAlign w:val="center"/>
            <w:hideMark/>
          </w:tcPr>
          <w:p w14:paraId="173DF277"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311110400</w:t>
            </w:r>
          </w:p>
        </w:tc>
        <w:tc>
          <w:tcPr>
            <w:tcW w:w="3458" w:type="dxa"/>
            <w:tcBorders>
              <w:top w:val="nil"/>
              <w:left w:val="nil"/>
              <w:bottom w:val="single" w:sz="4" w:space="0" w:color="auto"/>
              <w:right w:val="single" w:sz="4" w:space="0" w:color="auto"/>
            </w:tcBorders>
            <w:vAlign w:val="center"/>
            <w:hideMark/>
          </w:tcPr>
          <w:p w14:paraId="3E8B6B83" w14:textId="77777777" w:rsidR="00D35273" w:rsidRPr="00D35273" w:rsidRDefault="00D35273" w:rsidP="00D35273">
            <w:pPr>
              <w:ind w:firstLine="0"/>
              <w:jc w:val="both"/>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Gratificações</w:t>
            </w:r>
          </w:p>
        </w:tc>
        <w:tc>
          <w:tcPr>
            <w:tcW w:w="1984" w:type="dxa"/>
            <w:tcBorders>
              <w:top w:val="nil"/>
              <w:left w:val="nil"/>
              <w:bottom w:val="single" w:sz="4" w:space="0" w:color="auto"/>
              <w:right w:val="single" w:sz="4" w:space="0" w:color="auto"/>
            </w:tcBorders>
            <w:vAlign w:val="center"/>
            <w:hideMark/>
          </w:tcPr>
          <w:p w14:paraId="05A867D8" w14:textId="77777777" w:rsidR="00D35273" w:rsidRPr="00D35273" w:rsidRDefault="00D35273" w:rsidP="00D35273">
            <w:pPr>
              <w:ind w:firstLine="0"/>
              <w:jc w:val="right"/>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174.494.307,66 </w:t>
            </w:r>
          </w:p>
        </w:tc>
        <w:tc>
          <w:tcPr>
            <w:tcW w:w="1701" w:type="dxa"/>
            <w:tcBorders>
              <w:top w:val="nil"/>
              <w:left w:val="nil"/>
              <w:bottom w:val="single" w:sz="4" w:space="0" w:color="auto"/>
              <w:right w:val="single" w:sz="4" w:space="0" w:color="auto"/>
            </w:tcBorders>
            <w:vAlign w:val="center"/>
            <w:hideMark/>
          </w:tcPr>
          <w:p w14:paraId="28A4887C"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Pessoal</w:t>
            </w:r>
          </w:p>
        </w:tc>
      </w:tr>
      <w:tr w:rsidR="00D35273" w:rsidRPr="00D35273" w14:paraId="494A2BB6" w14:textId="77777777" w:rsidTr="006F51BE">
        <w:trPr>
          <w:trHeight w:val="263"/>
          <w:jc w:val="center"/>
        </w:trPr>
        <w:tc>
          <w:tcPr>
            <w:tcW w:w="502" w:type="dxa"/>
            <w:tcBorders>
              <w:top w:val="nil"/>
              <w:left w:val="single" w:sz="4" w:space="0" w:color="auto"/>
              <w:bottom w:val="single" w:sz="4" w:space="0" w:color="auto"/>
              <w:right w:val="single" w:sz="4" w:space="0" w:color="auto"/>
            </w:tcBorders>
            <w:vAlign w:val="center"/>
            <w:hideMark/>
          </w:tcPr>
          <w:p w14:paraId="7823040A"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5</w:t>
            </w:r>
          </w:p>
        </w:tc>
        <w:tc>
          <w:tcPr>
            <w:tcW w:w="1422" w:type="dxa"/>
            <w:tcBorders>
              <w:top w:val="nil"/>
              <w:left w:val="nil"/>
              <w:bottom w:val="single" w:sz="4" w:space="0" w:color="auto"/>
              <w:right w:val="single" w:sz="4" w:space="0" w:color="auto"/>
            </w:tcBorders>
            <w:vAlign w:val="center"/>
            <w:hideMark/>
          </w:tcPr>
          <w:p w14:paraId="725EFB8D"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312120100</w:t>
            </w:r>
          </w:p>
        </w:tc>
        <w:tc>
          <w:tcPr>
            <w:tcW w:w="3458" w:type="dxa"/>
            <w:tcBorders>
              <w:top w:val="nil"/>
              <w:left w:val="nil"/>
              <w:bottom w:val="single" w:sz="4" w:space="0" w:color="auto"/>
              <w:right w:val="single" w:sz="4" w:space="0" w:color="auto"/>
            </w:tcBorders>
            <w:vAlign w:val="center"/>
            <w:hideMark/>
          </w:tcPr>
          <w:p w14:paraId="40E53D3E" w14:textId="77777777" w:rsidR="00D35273" w:rsidRPr="00D35273" w:rsidRDefault="00D35273" w:rsidP="00D35273">
            <w:pPr>
              <w:ind w:firstLine="0"/>
              <w:jc w:val="both"/>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 xml:space="preserve">Contribuição Patronal para o RPPS - </w:t>
            </w:r>
            <w:proofErr w:type="spellStart"/>
            <w:r w:rsidRPr="00D35273">
              <w:rPr>
                <w:rFonts w:ascii="Times New Roman" w:eastAsia="Times New Roman" w:hAnsi="Times New Roman" w:cs="Times New Roman"/>
                <w:color w:val="000000"/>
                <w:sz w:val="20"/>
                <w:szCs w:val="20"/>
                <w:lang w:eastAsia="pt-BR"/>
              </w:rPr>
              <w:t>Intra</w:t>
            </w:r>
            <w:proofErr w:type="spellEnd"/>
          </w:p>
        </w:tc>
        <w:tc>
          <w:tcPr>
            <w:tcW w:w="1984" w:type="dxa"/>
            <w:tcBorders>
              <w:top w:val="nil"/>
              <w:left w:val="nil"/>
              <w:bottom w:val="single" w:sz="4" w:space="0" w:color="auto"/>
              <w:right w:val="single" w:sz="4" w:space="0" w:color="auto"/>
            </w:tcBorders>
            <w:vAlign w:val="center"/>
            <w:hideMark/>
          </w:tcPr>
          <w:p w14:paraId="356B5874" w14:textId="77777777" w:rsidR="00D35273" w:rsidRPr="00D35273" w:rsidRDefault="00D35273" w:rsidP="00D35273">
            <w:pPr>
              <w:ind w:firstLine="0"/>
              <w:jc w:val="right"/>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55.865.416,33 </w:t>
            </w:r>
          </w:p>
        </w:tc>
        <w:tc>
          <w:tcPr>
            <w:tcW w:w="1701" w:type="dxa"/>
            <w:tcBorders>
              <w:top w:val="nil"/>
              <w:left w:val="nil"/>
              <w:bottom w:val="single" w:sz="4" w:space="0" w:color="auto"/>
              <w:right w:val="single" w:sz="4" w:space="0" w:color="auto"/>
            </w:tcBorders>
            <w:vAlign w:val="center"/>
            <w:hideMark/>
          </w:tcPr>
          <w:p w14:paraId="722D2750"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Pessoal</w:t>
            </w:r>
          </w:p>
        </w:tc>
      </w:tr>
      <w:tr w:rsidR="00D35273" w:rsidRPr="00D35273" w14:paraId="163D00E7" w14:textId="77777777" w:rsidTr="006F51BE">
        <w:trPr>
          <w:trHeight w:val="263"/>
          <w:jc w:val="center"/>
        </w:trPr>
        <w:tc>
          <w:tcPr>
            <w:tcW w:w="502" w:type="dxa"/>
            <w:tcBorders>
              <w:top w:val="nil"/>
              <w:left w:val="single" w:sz="4" w:space="0" w:color="auto"/>
              <w:bottom w:val="single" w:sz="4" w:space="0" w:color="auto"/>
              <w:right w:val="single" w:sz="4" w:space="0" w:color="auto"/>
            </w:tcBorders>
            <w:vAlign w:val="center"/>
            <w:hideMark/>
          </w:tcPr>
          <w:p w14:paraId="3D7BC480"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6</w:t>
            </w:r>
          </w:p>
        </w:tc>
        <w:tc>
          <w:tcPr>
            <w:tcW w:w="1422" w:type="dxa"/>
            <w:tcBorders>
              <w:top w:val="nil"/>
              <w:left w:val="nil"/>
              <w:bottom w:val="single" w:sz="4" w:space="0" w:color="auto"/>
              <w:right w:val="single" w:sz="4" w:space="0" w:color="auto"/>
            </w:tcBorders>
            <w:vAlign w:val="center"/>
            <w:hideMark/>
          </w:tcPr>
          <w:p w14:paraId="502E451B"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321110100</w:t>
            </w:r>
          </w:p>
        </w:tc>
        <w:tc>
          <w:tcPr>
            <w:tcW w:w="3458" w:type="dxa"/>
            <w:tcBorders>
              <w:top w:val="nil"/>
              <w:left w:val="nil"/>
              <w:bottom w:val="single" w:sz="4" w:space="0" w:color="auto"/>
              <w:right w:val="single" w:sz="4" w:space="0" w:color="auto"/>
            </w:tcBorders>
            <w:vAlign w:val="center"/>
            <w:hideMark/>
          </w:tcPr>
          <w:p w14:paraId="1A1DF826" w14:textId="77777777" w:rsidR="00D35273" w:rsidRPr="00D35273" w:rsidRDefault="00D35273" w:rsidP="00D35273">
            <w:pPr>
              <w:ind w:firstLine="0"/>
              <w:jc w:val="both"/>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Proventos - Pessoal Civil</w:t>
            </w:r>
          </w:p>
        </w:tc>
        <w:tc>
          <w:tcPr>
            <w:tcW w:w="1984" w:type="dxa"/>
            <w:tcBorders>
              <w:top w:val="nil"/>
              <w:left w:val="nil"/>
              <w:bottom w:val="single" w:sz="4" w:space="0" w:color="auto"/>
              <w:right w:val="single" w:sz="4" w:space="0" w:color="auto"/>
            </w:tcBorders>
            <w:vAlign w:val="center"/>
            <w:hideMark/>
          </w:tcPr>
          <w:p w14:paraId="0AC58D65" w14:textId="77777777" w:rsidR="00D35273" w:rsidRPr="00D35273" w:rsidRDefault="00D35273" w:rsidP="00D35273">
            <w:pPr>
              <w:ind w:firstLine="0"/>
              <w:jc w:val="right"/>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56.325.498,30 </w:t>
            </w:r>
          </w:p>
        </w:tc>
        <w:tc>
          <w:tcPr>
            <w:tcW w:w="1701" w:type="dxa"/>
            <w:tcBorders>
              <w:top w:val="nil"/>
              <w:left w:val="nil"/>
              <w:bottom w:val="single" w:sz="4" w:space="0" w:color="auto"/>
              <w:right w:val="single" w:sz="4" w:space="0" w:color="auto"/>
            </w:tcBorders>
            <w:vAlign w:val="center"/>
            <w:hideMark/>
          </w:tcPr>
          <w:p w14:paraId="57CE0906"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Pessoal</w:t>
            </w:r>
          </w:p>
        </w:tc>
      </w:tr>
      <w:tr w:rsidR="00D35273" w:rsidRPr="00D35273" w14:paraId="0046B722" w14:textId="77777777" w:rsidTr="006F51BE">
        <w:trPr>
          <w:trHeight w:val="263"/>
          <w:jc w:val="center"/>
        </w:trPr>
        <w:tc>
          <w:tcPr>
            <w:tcW w:w="502" w:type="dxa"/>
            <w:tcBorders>
              <w:top w:val="nil"/>
              <w:left w:val="single" w:sz="4" w:space="0" w:color="auto"/>
              <w:bottom w:val="single" w:sz="4" w:space="0" w:color="auto"/>
              <w:right w:val="single" w:sz="4" w:space="0" w:color="auto"/>
            </w:tcBorders>
            <w:vAlign w:val="center"/>
            <w:hideMark/>
          </w:tcPr>
          <w:p w14:paraId="3D58499A"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7</w:t>
            </w:r>
          </w:p>
        </w:tc>
        <w:tc>
          <w:tcPr>
            <w:tcW w:w="1422" w:type="dxa"/>
            <w:tcBorders>
              <w:top w:val="nil"/>
              <w:left w:val="nil"/>
              <w:bottom w:val="single" w:sz="4" w:space="0" w:color="auto"/>
              <w:right w:val="single" w:sz="4" w:space="0" w:color="auto"/>
            </w:tcBorders>
            <w:vAlign w:val="center"/>
            <w:hideMark/>
          </w:tcPr>
          <w:p w14:paraId="7F0C6ECF" w14:textId="77777777" w:rsidR="00D35273" w:rsidRPr="00D35273" w:rsidRDefault="00D35273" w:rsidP="00D35273">
            <w:pPr>
              <w:ind w:firstLine="0"/>
              <w:jc w:val="center"/>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364120100</w:t>
            </w:r>
          </w:p>
        </w:tc>
        <w:tc>
          <w:tcPr>
            <w:tcW w:w="3458" w:type="dxa"/>
            <w:tcBorders>
              <w:top w:val="nil"/>
              <w:left w:val="nil"/>
              <w:bottom w:val="single" w:sz="4" w:space="0" w:color="auto"/>
              <w:right w:val="single" w:sz="4" w:space="0" w:color="auto"/>
            </w:tcBorders>
            <w:vAlign w:val="center"/>
            <w:hideMark/>
          </w:tcPr>
          <w:p w14:paraId="1B04018C" w14:textId="77777777" w:rsidR="00D35273" w:rsidRPr="00D35273" w:rsidRDefault="00D35273" w:rsidP="00D35273">
            <w:pPr>
              <w:ind w:firstLine="0"/>
              <w:jc w:val="both"/>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Incorporação de passivos</w:t>
            </w:r>
          </w:p>
        </w:tc>
        <w:tc>
          <w:tcPr>
            <w:tcW w:w="1984" w:type="dxa"/>
            <w:tcBorders>
              <w:top w:val="nil"/>
              <w:left w:val="nil"/>
              <w:bottom w:val="single" w:sz="4" w:space="0" w:color="auto"/>
              <w:right w:val="single" w:sz="4" w:space="0" w:color="auto"/>
            </w:tcBorders>
            <w:vAlign w:val="center"/>
            <w:hideMark/>
          </w:tcPr>
          <w:p w14:paraId="03BC2590" w14:textId="77777777" w:rsidR="00D35273" w:rsidRPr="00D35273" w:rsidRDefault="00D35273" w:rsidP="00D35273">
            <w:pPr>
              <w:ind w:firstLine="0"/>
              <w:jc w:val="right"/>
              <w:rPr>
                <w:rFonts w:ascii="Times New Roman" w:eastAsia="Times New Roman" w:hAnsi="Times New Roman" w:cs="Times New Roman"/>
                <w:color w:val="000000"/>
                <w:sz w:val="20"/>
                <w:szCs w:val="20"/>
                <w:lang w:eastAsia="pt-BR"/>
              </w:rPr>
            </w:pPr>
            <w:r w:rsidRPr="00D35273">
              <w:rPr>
                <w:rFonts w:ascii="Times New Roman" w:eastAsia="Times New Roman" w:hAnsi="Times New Roman" w:cs="Times New Roman"/>
                <w:color w:val="000000"/>
                <w:sz w:val="20"/>
                <w:szCs w:val="20"/>
                <w:lang w:eastAsia="pt-BR"/>
              </w:rPr>
              <w:t>3.634.192.874,25</w:t>
            </w:r>
          </w:p>
        </w:tc>
        <w:tc>
          <w:tcPr>
            <w:tcW w:w="1701" w:type="dxa"/>
            <w:tcBorders>
              <w:top w:val="nil"/>
              <w:left w:val="nil"/>
              <w:bottom w:val="single" w:sz="4" w:space="0" w:color="auto"/>
              <w:right w:val="single" w:sz="4" w:space="0" w:color="auto"/>
            </w:tcBorders>
            <w:vAlign w:val="center"/>
            <w:hideMark/>
          </w:tcPr>
          <w:p w14:paraId="63F9C6A6" w14:textId="4EE4EC19" w:rsidR="00D35273" w:rsidRPr="00D35273" w:rsidRDefault="006F51BE" w:rsidP="00D35273">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sz w:val="20"/>
                <w:szCs w:val="20"/>
                <w:lang w:eastAsia="pt-BR"/>
              </w:rPr>
              <w:t>Precatórios/RPVs</w:t>
            </w:r>
          </w:p>
        </w:tc>
      </w:tr>
    </w:tbl>
    <w:p w14:paraId="2985B42D" w14:textId="6D81539F" w:rsidR="001F2898" w:rsidRDefault="001F5E67" w:rsidP="001F5E67">
      <w:pPr>
        <w:ind w:right="12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lang w:eastAsia="pt-BR"/>
        </w:rPr>
        <w:t xml:space="preserve">    </w:t>
      </w:r>
      <w:r w:rsidR="00407437">
        <w:rPr>
          <w:rFonts w:ascii="Times New Roman" w:eastAsia="Times New Roman" w:hAnsi="Times New Roman" w:cs="Times New Roman"/>
          <w:color w:val="000000"/>
          <w:sz w:val="20"/>
          <w:szCs w:val="20"/>
          <w:lang w:eastAsia="pt-BR"/>
        </w:rPr>
        <w:t>Fonte: P</w:t>
      </w:r>
      <w:r w:rsidR="00A61C3A" w:rsidRPr="00EE3DC2">
        <w:rPr>
          <w:rFonts w:ascii="Times New Roman" w:eastAsia="Times New Roman" w:hAnsi="Times New Roman" w:cs="Times New Roman"/>
          <w:color w:val="000000"/>
          <w:sz w:val="20"/>
          <w:szCs w:val="20"/>
          <w:lang w:eastAsia="pt-BR"/>
        </w:rPr>
        <w:t>320.1 - Materialidade - 31/07/202</w:t>
      </w:r>
      <w:r w:rsidR="00BD7386">
        <w:rPr>
          <w:rFonts w:ascii="Times New Roman" w:eastAsia="Times New Roman" w:hAnsi="Times New Roman" w:cs="Times New Roman"/>
          <w:color w:val="000000"/>
          <w:sz w:val="20"/>
          <w:szCs w:val="20"/>
          <w:lang w:eastAsia="pt-BR"/>
        </w:rPr>
        <w:t>5</w:t>
      </w:r>
      <w:r w:rsidR="00F61E23">
        <w:rPr>
          <w:rFonts w:ascii="Times New Roman" w:eastAsia="Times New Roman" w:hAnsi="Times New Roman" w:cs="Times New Roman"/>
          <w:color w:val="000000"/>
          <w:sz w:val="20"/>
          <w:szCs w:val="20"/>
          <w:lang w:eastAsia="pt-BR"/>
        </w:rPr>
        <w:t xml:space="preserve"> (i</w:t>
      </w:r>
      <w:r w:rsidR="00F61E23" w:rsidRPr="00BD7386">
        <w:rPr>
          <w:rFonts w:ascii="Times New Roman" w:eastAsia="Times New Roman" w:hAnsi="Times New Roman" w:cs="Times New Roman"/>
          <w:color w:val="000000"/>
          <w:sz w:val="20"/>
          <w:szCs w:val="20"/>
          <w:lang w:eastAsia="pt-BR"/>
        </w:rPr>
        <w:t>d.</w:t>
      </w:r>
      <w:r w:rsidR="00BD7386" w:rsidRPr="00BD7386">
        <w:rPr>
          <w:rFonts w:ascii="Times New Roman" w:hAnsi="Times New Roman" w:cs="Times New Roman"/>
          <w:sz w:val="20"/>
          <w:szCs w:val="20"/>
        </w:rPr>
        <w:t xml:space="preserve"> 1337275</w:t>
      </w:r>
      <w:r w:rsidR="00A61C3A" w:rsidRPr="00EE3DC2">
        <w:rPr>
          <w:rFonts w:ascii="Times New Roman" w:eastAsia="Times New Roman" w:hAnsi="Times New Roman" w:cs="Times New Roman"/>
          <w:color w:val="000000"/>
          <w:sz w:val="20"/>
          <w:szCs w:val="20"/>
          <w:lang w:eastAsia="pt-BR"/>
        </w:rPr>
        <w:t>)</w:t>
      </w:r>
    </w:p>
    <w:p w14:paraId="095DF081" w14:textId="77777777" w:rsidR="001F2898" w:rsidRDefault="001F2898" w:rsidP="005F5528">
      <w:pPr>
        <w:spacing w:before="240"/>
        <w:ind w:right="119" w:firstLine="0"/>
        <w:jc w:val="both"/>
        <w:rPr>
          <w:rFonts w:ascii="Times New Roman" w:eastAsia="Times New Roman" w:hAnsi="Times New Roman" w:cs="Times New Roman"/>
          <w:sz w:val="24"/>
          <w:szCs w:val="24"/>
          <w:lang w:eastAsia="pt-BR"/>
        </w:rPr>
      </w:pPr>
    </w:p>
    <w:p w14:paraId="73E02EC8" w14:textId="3D0ED588" w:rsidR="00D44309" w:rsidRDefault="0061343E" w:rsidP="005F5528">
      <w:pPr>
        <w:ind w:left="708" w:right="119" w:firstLine="0"/>
        <w:rPr>
          <w:rFonts w:ascii="Times New Roman" w:eastAsia="Times New Roman" w:hAnsi="Times New Roman" w:cs="Times New Roman"/>
          <w:b/>
          <w:bCs/>
          <w:color w:val="000000"/>
          <w:sz w:val="20"/>
          <w:szCs w:val="20"/>
          <w:lang w:eastAsia="pt-BR"/>
        </w:rPr>
      </w:pPr>
      <w:r w:rsidRPr="00624D58">
        <w:rPr>
          <w:rFonts w:ascii="Times New Roman" w:eastAsia="Times New Roman" w:hAnsi="Times New Roman" w:cs="Times New Roman"/>
          <w:b/>
          <w:sz w:val="20"/>
          <w:szCs w:val="20"/>
          <w:lang w:eastAsia="pt-BR"/>
        </w:rPr>
        <w:t xml:space="preserve">Tabela </w:t>
      </w:r>
      <w:r w:rsidR="00DD7DC3">
        <w:rPr>
          <w:rFonts w:ascii="Times New Roman" w:eastAsia="Times New Roman" w:hAnsi="Times New Roman" w:cs="Times New Roman"/>
          <w:b/>
          <w:sz w:val="20"/>
          <w:szCs w:val="20"/>
          <w:lang w:eastAsia="pt-BR"/>
        </w:rPr>
        <w:t>7</w:t>
      </w:r>
      <w:r w:rsidR="00281C17" w:rsidRPr="00624D58">
        <w:rPr>
          <w:rFonts w:ascii="Times New Roman" w:eastAsia="Times New Roman" w:hAnsi="Times New Roman" w:cs="Times New Roman"/>
          <w:b/>
          <w:sz w:val="20"/>
          <w:szCs w:val="20"/>
          <w:lang w:eastAsia="pt-BR"/>
        </w:rPr>
        <w:t xml:space="preserve"> – Despesa sob a ótica orçamentária (natureza da despesa) por relevância financeira</w:t>
      </w:r>
      <w:r w:rsidRPr="00624D58">
        <w:rPr>
          <w:rFonts w:ascii="Times New Roman" w:eastAsia="Times New Roman" w:hAnsi="Times New Roman" w:cs="Times New Roman"/>
          <w:b/>
          <w:sz w:val="20"/>
          <w:szCs w:val="20"/>
          <w:lang w:eastAsia="pt-BR"/>
        </w:rPr>
        <w:t xml:space="preserve"> </w:t>
      </w:r>
      <w:r w:rsidR="00281C17" w:rsidRPr="00624D58">
        <w:rPr>
          <w:rFonts w:ascii="Times New Roman" w:eastAsia="Times New Roman" w:hAnsi="Times New Roman" w:cs="Times New Roman"/>
          <w:b/>
          <w:bCs/>
          <w:color w:val="000000"/>
          <w:sz w:val="20"/>
          <w:szCs w:val="20"/>
          <w:lang w:eastAsia="pt-BR"/>
        </w:rPr>
        <w:t xml:space="preserve">(≥ que ME) – </w:t>
      </w:r>
      <w:r w:rsidR="00B461C9">
        <w:rPr>
          <w:rFonts w:ascii="Times New Roman" w:eastAsia="Times New Roman" w:hAnsi="Times New Roman" w:cs="Times New Roman"/>
          <w:b/>
          <w:bCs/>
          <w:color w:val="000000"/>
          <w:sz w:val="20"/>
          <w:szCs w:val="20"/>
          <w:lang w:eastAsia="pt-BR"/>
        </w:rPr>
        <w:t>j</w:t>
      </w:r>
      <w:r w:rsidRPr="00624D58">
        <w:rPr>
          <w:rFonts w:ascii="Times New Roman" w:eastAsia="Times New Roman" w:hAnsi="Times New Roman" w:cs="Times New Roman"/>
          <w:b/>
          <w:bCs/>
          <w:color w:val="000000"/>
          <w:sz w:val="20"/>
          <w:szCs w:val="20"/>
          <w:lang w:eastAsia="pt-BR"/>
        </w:rPr>
        <w:t>ulho/202</w:t>
      </w:r>
      <w:r w:rsidR="00FF3F92">
        <w:rPr>
          <w:rFonts w:ascii="Times New Roman" w:eastAsia="Times New Roman" w:hAnsi="Times New Roman" w:cs="Times New Roman"/>
          <w:b/>
          <w:bCs/>
          <w:color w:val="000000"/>
          <w:sz w:val="20"/>
          <w:szCs w:val="20"/>
          <w:lang w:eastAsia="pt-BR"/>
        </w:rPr>
        <w:t>5</w:t>
      </w:r>
      <w:r w:rsidR="00281C17" w:rsidRPr="00624D58">
        <w:rPr>
          <w:rFonts w:ascii="Times New Roman" w:eastAsia="Times New Roman" w:hAnsi="Times New Roman" w:cs="Times New Roman"/>
          <w:b/>
          <w:bCs/>
          <w:color w:val="000000"/>
          <w:sz w:val="20"/>
          <w:szCs w:val="20"/>
          <w:lang w:eastAsia="pt-BR"/>
        </w:rPr>
        <w:t xml:space="preserve"> – Precatórios e RPVs</w:t>
      </w:r>
    </w:p>
    <w:tbl>
      <w:tblPr>
        <w:tblW w:w="9078" w:type="dxa"/>
        <w:jc w:val="center"/>
        <w:tblLayout w:type="fixed"/>
        <w:tblCellMar>
          <w:left w:w="70" w:type="dxa"/>
          <w:right w:w="70" w:type="dxa"/>
        </w:tblCellMar>
        <w:tblLook w:val="04A0" w:firstRow="1" w:lastRow="0" w:firstColumn="1" w:lastColumn="0" w:noHBand="0" w:noVBand="1"/>
      </w:tblPr>
      <w:tblGrid>
        <w:gridCol w:w="573"/>
        <w:gridCol w:w="1265"/>
        <w:gridCol w:w="3544"/>
        <w:gridCol w:w="2126"/>
        <w:gridCol w:w="1570"/>
      </w:tblGrid>
      <w:tr w:rsidR="00B50164" w:rsidRPr="00321BD7" w14:paraId="041A184F" w14:textId="77777777" w:rsidTr="006F51BE">
        <w:trPr>
          <w:trHeight w:val="612"/>
          <w:jc w:val="center"/>
        </w:trPr>
        <w:tc>
          <w:tcPr>
            <w:tcW w:w="57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A6FB3C3" w14:textId="77777777" w:rsidR="00B50164" w:rsidRPr="00321BD7" w:rsidRDefault="00B50164" w:rsidP="005F5528">
            <w:pPr>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Seq.</w:t>
            </w:r>
          </w:p>
        </w:tc>
        <w:tc>
          <w:tcPr>
            <w:tcW w:w="126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A50473D" w14:textId="77777777" w:rsidR="00B50164" w:rsidRPr="00321BD7" w:rsidRDefault="00B50164" w:rsidP="005F5528">
            <w:pPr>
              <w:ind w:firstLine="0"/>
              <w:jc w:val="center"/>
              <w:rPr>
                <w:rFonts w:ascii="Times New Roman" w:eastAsia="Times New Roman" w:hAnsi="Times New Roman" w:cs="Times New Roman"/>
                <w:b/>
                <w:bCs/>
                <w:sz w:val="20"/>
                <w:szCs w:val="20"/>
                <w:lang w:eastAsia="pt-BR"/>
              </w:rPr>
            </w:pPr>
            <w:r w:rsidRPr="00321BD7">
              <w:rPr>
                <w:rFonts w:ascii="Times New Roman" w:eastAsia="Times New Roman" w:hAnsi="Times New Roman" w:cs="Times New Roman"/>
                <w:b/>
                <w:bCs/>
                <w:sz w:val="20"/>
                <w:szCs w:val="20"/>
                <w:lang w:eastAsia="pt-BR"/>
              </w:rPr>
              <w:t>Código da conta</w:t>
            </w:r>
          </w:p>
        </w:tc>
        <w:tc>
          <w:tcPr>
            <w:tcW w:w="3544"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64C9AB53" w14:textId="77777777" w:rsidR="00B50164" w:rsidRPr="00321BD7" w:rsidRDefault="00B50164" w:rsidP="005F5528">
            <w:pPr>
              <w:ind w:firstLine="0"/>
              <w:jc w:val="center"/>
              <w:rPr>
                <w:rFonts w:ascii="Times New Roman" w:eastAsia="Times New Roman" w:hAnsi="Times New Roman" w:cs="Times New Roman"/>
                <w:b/>
                <w:bCs/>
                <w:sz w:val="20"/>
                <w:szCs w:val="20"/>
                <w:lang w:eastAsia="pt-BR"/>
              </w:rPr>
            </w:pPr>
            <w:r w:rsidRPr="00321BD7">
              <w:rPr>
                <w:rFonts w:ascii="Times New Roman" w:eastAsia="Times New Roman" w:hAnsi="Times New Roman" w:cs="Times New Roman"/>
                <w:b/>
                <w:bCs/>
                <w:sz w:val="20"/>
                <w:szCs w:val="20"/>
                <w:lang w:eastAsia="pt-BR"/>
              </w:rPr>
              <w:t>Descrição conta contábil</w:t>
            </w:r>
          </w:p>
        </w:tc>
        <w:tc>
          <w:tcPr>
            <w:tcW w:w="2126"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27BE89E3" w14:textId="77777777" w:rsidR="00B50164" w:rsidRPr="00321BD7" w:rsidRDefault="00B50164" w:rsidP="005F5528">
            <w:pPr>
              <w:ind w:firstLine="0"/>
              <w:jc w:val="center"/>
              <w:rPr>
                <w:rFonts w:ascii="Times New Roman" w:eastAsia="Times New Roman" w:hAnsi="Times New Roman" w:cs="Times New Roman"/>
                <w:b/>
                <w:bCs/>
                <w:sz w:val="20"/>
                <w:szCs w:val="20"/>
                <w:lang w:eastAsia="pt-BR"/>
              </w:rPr>
            </w:pPr>
            <w:r w:rsidRPr="00321BD7">
              <w:rPr>
                <w:rFonts w:ascii="Times New Roman" w:eastAsia="Times New Roman" w:hAnsi="Times New Roman" w:cs="Times New Roman"/>
                <w:b/>
                <w:bCs/>
                <w:sz w:val="20"/>
                <w:szCs w:val="20"/>
                <w:lang w:eastAsia="pt-BR"/>
              </w:rPr>
              <w:t>Valor monetário da conta ou saldo (R$)</w:t>
            </w:r>
          </w:p>
        </w:tc>
        <w:tc>
          <w:tcPr>
            <w:tcW w:w="1570"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53BC912C" w14:textId="77777777" w:rsidR="00B50164" w:rsidRPr="00321BD7" w:rsidRDefault="00B50164" w:rsidP="005F5528">
            <w:pPr>
              <w:ind w:firstLine="0"/>
              <w:jc w:val="center"/>
              <w:rPr>
                <w:rFonts w:ascii="Times New Roman" w:eastAsia="Times New Roman" w:hAnsi="Times New Roman" w:cs="Times New Roman"/>
                <w:b/>
                <w:bCs/>
                <w:sz w:val="20"/>
                <w:szCs w:val="20"/>
                <w:lang w:eastAsia="pt-BR"/>
              </w:rPr>
            </w:pPr>
            <w:r w:rsidRPr="00321BD7">
              <w:rPr>
                <w:rFonts w:ascii="Times New Roman" w:eastAsia="Times New Roman" w:hAnsi="Times New Roman" w:cs="Times New Roman"/>
                <w:b/>
                <w:bCs/>
                <w:sz w:val="20"/>
                <w:szCs w:val="20"/>
                <w:lang w:eastAsia="pt-BR"/>
              </w:rPr>
              <w:t>Ciclo Contábil</w:t>
            </w:r>
          </w:p>
        </w:tc>
      </w:tr>
      <w:tr w:rsidR="00B50164" w:rsidRPr="00321BD7" w14:paraId="13DF1795" w14:textId="77777777" w:rsidTr="006F51BE">
        <w:trPr>
          <w:trHeight w:val="340"/>
          <w:jc w:val="center"/>
        </w:trPr>
        <w:tc>
          <w:tcPr>
            <w:tcW w:w="573" w:type="dxa"/>
            <w:tcBorders>
              <w:top w:val="nil"/>
              <w:left w:val="single" w:sz="4" w:space="0" w:color="auto"/>
              <w:bottom w:val="single" w:sz="4" w:space="0" w:color="auto"/>
              <w:right w:val="single" w:sz="4" w:space="0" w:color="auto"/>
            </w:tcBorders>
            <w:vAlign w:val="center"/>
          </w:tcPr>
          <w:p w14:paraId="78234193" w14:textId="77777777" w:rsidR="00B50164" w:rsidRPr="00321BD7" w:rsidRDefault="00B50164"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tc>
        <w:tc>
          <w:tcPr>
            <w:tcW w:w="1265" w:type="dxa"/>
            <w:tcBorders>
              <w:top w:val="nil"/>
              <w:left w:val="single" w:sz="4" w:space="0" w:color="auto"/>
              <w:bottom w:val="single" w:sz="4" w:space="0" w:color="auto"/>
              <w:right w:val="single" w:sz="4" w:space="0" w:color="auto"/>
            </w:tcBorders>
            <w:vAlign w:val="center"/>
            <w:hideMark/>
          </w:tcPr>
          <w:p w14:paraId="7B978B0D" w14:textId="4FF93210" w:rsidR="00B50164" w:rsidRPr="00321BD7" w:rsidRDefault="00B50164"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r w:rsidR="002C53E9">
              <w:rPr>
                <w:rFonts w:ascii="Times New Roman" w:eastAsia="Times New Roman" w:hAnsi="Times New Roman" w:cs="Times New Roman"/>
                <w:sz w:val="20"/>
                <w:szCs w:val="20"/>
                <w:lang w:eastAsia="pt-BR"/>
              </w:rPr>
              <w:t>1</w:t>
            </w:r>
            <w:r>
              <w:rPr>
                <w:rFonts w:ascii="Times New Roman" w:eastAsia="Times New Roman" w:hAnsi="Times New Roman" w:cs="Times New Roman"/>
                <w:sz w:val="20"/>
                <w:szCs w:val="20"/>
                <w:lang w:eastAsia="pt-BR"/>
              </w:rPr>
              <w:t>9091</w:t>
            </w:r>
          </w:p>
        </w:tc>
        <w:tc>
          <w:tcPr>
            <w:tcW w:w="3544" w:type="dxa"/>
            <w:tcBorders>
              <w:top w:val="nil"/>
              <w:left w:val="nil"/>
              <w:bottom w:val="single" w:sz="4" w:space="0" w:color="auto"/>
              <w:right w:val="single" w:sz="4" w:space="0" w:color="auto"/>
            </w:tcBorders>
            <w:vAlign w:val="center"/>
            <w:hideMark/>
          </w:tcPr>
          <w:p w14:paraId="7FBE6C3A" w14:textId="77777777" w:rsidR="00B50164" w:rsidRPr="00321BD7" w:rsidRDefault="00B50164" w:rsidP="005F5528">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Sentenças judiciais – Precatórios/RPV</w:t>
            </w:r>
          </w:p>
        </w:tc>
        <w:tc>
          <w:tcPr>
            <w:tcW w:w="2126" w:type="dxa"/>
            <w:tcBorders>
              <w:top w:val="nil"/>
              <w:left w:val="nil"/>
              <w:bottom w:val="single" w:sz="4" w:space="0" w:color="auto"/>
              <w:right w:val="single" w:sz="4" w:space="0" w:color="auto"/>
            </w:tcBorders>
            <w:noWrap/>
            <w:vAlign w:val="center"/>
            <w:hideMark/>
          </w:tcPr>
          <w:p w14:paraId="474AECAC" w14:textId="0DCEDA83" w:rsidR="00B50164" w:rsidRPr="00321BD7" w:rsidRDefault="002C53E9" w:rsidP="005F5528">
            <w:pPr>
              <w:ind w:firstLine="0"/>
              <w:jc w:val="right"/>
              <w:rPr>
                <w:rFonts w:ascii="Times New Roman" w:eastAsia="Times New Roman" w:hAnsi="Times New Roman" w:cs="Times New Roman"/>
                <w:sz w:val="20"/>
                <w:szCs w:val="20"/>
                <w:lang w:eastAsia="pt-BR"/>
              </w:rPr>
            </w:pPr>
            <w:r w:rsidRPr="002C53E9">
              <w:rPr>
                <w:rFonts w:ascii="Times New Roman" w:eastAsia="Times New Roman" w:hAnsi="Times New Roman" w:cs="Times New Roman"/>
                <w:sz w:val="20"/>
                <w:szCs w:val="20"/>
                <w:lang w:eastAsia="pt-BR"/>
              </w:rPr>
              <w:t>354.359.657,96</w:t>
            </w:r>
          </w:p>
        </w:tc>
        <w:tc>
          <w:tcPr>
            <w:tcW w:w="1570" w:type="dxa"/>
            <w:tcBorders>
              <w:top w:val="nil"/>
              <w:left w:val="nil"/>
              <w:bottom w:val="single" w:sz="4" w:space="0" w:color="auto"/>
              <w:right w:val="single" w:sz="4" w:space="0" w:color="auto"/>
            </w:tcBorders>
            <w:noWrap/>
            <w:vAlign w:val="center"/>
            <w:hideMark/>
          </w:tcPr>
          <w:p w14:paraId="20666937" w14:textId="4E2212B0" w:rsidR="00B50164" w:rsidRPr="00321BD7" w:rsidRDefault="006F51BE"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Precatórios/RPVs</w:t>
            </w:r>
          </w:p>
        </w:tc>
      </w:tr>
      <w:tr w:rsidR="002C53E9" w:rsidRPr="00321BD7" w14:paraId="11217D9A" w14:textId="77777777" w:rsidTr="006F51BE">
        <w:trPr>
          <w:trHeight w:val="340"/>
          <w:jc w:val="center"/>
        </w:trPr>
        <w:tc>
          <w:tcPr>
            <w:tcW w:w="573" w:type="dxa"/>
            <w:tcBorders>
              <w:top w:val="nil"/>
              <w:left w:val="single" w:sz="4" w:space="0" w:color="auto"/>
              <w:bottom w:val="single" w:sz="4" w:space="0" w:color="auto"/>
              <w:right w:val="single" w:sz="4" w:space="0" w:color="auto"/>
            </w:tcBorders>
            <w:vAlign w:val="center"/>
          </w:tcPr>
          <w:p w14:paraId="642876DD" w14:textId="4D3AE162" w:rsidR="002C53E9" w:rsidRDefault="002C53E9" w:rsidP="002C53E9">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tc>
        <w:tc>
          <w:tcPr>
            <w:tcW w:w="1265" w:type="dxa"/>
            <w:tcBorders>
              <w:top w:val="nil"/>
              <w:left w:val="single" w:sz="4" w:space="0" w:color="auto"/>
              <w:bottom w:val="single" w:sz="4" w:space="0" w:color="auto"/>
              <w:right w:val="single" w:sz="4" w:space="0" w:color="auto"/>
            </w:tcBorders>
            <w:vAlign w:val="center"/>
          </w:tcPr>
          <w:p w14:paraId="7F64DC6A" w14:textId="7A3B6D93" w:rsidR="002C53E9" w:rsidRDefault="002C53E9" w:rsidP="002C53E9">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339091</w:t>
            </w:r>
          </w:p>
        </w:tc>
        <w:tc>
          <w:tcPr>
            <w:tcW w:w="3544" w:type="dxa"/>
            <w:tcBorders>
              <w:top w:val="nil"/>
              <w:left w:val="nil"/>
              <w:bottom w:val="single" w:sz="4" w:space="0" w:color="auto"/>
              <w:right w:val="single" w:sz="4" w:space="0" w:color="auto"/>
            </w:tcBorders>
            <w:vAlign w:val="center"/>
          </w:tcPr>
          <w:p w14:paraId="5B68D06F" w14:textId="5A07932D" w:rsidR="002C53E9" w:rsidRDefault="002C53E9" w:rsidP="002C53E9">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Sentenças judiciais – Precatórios/RPV</w:t>
            </w:r>
          </w:p>
        </w:tc>
        <w:tc>
          <w:tcPr>
            <w:tcW w:w="2126" w:type="dxa"/>
            <w:tcBorders>
              <w:top w:val="nil"/>
              <w:left w:val="nil"/>
              <w:bottom w:val="single" w:sz="4" w:space="0" w:color="auto"/>
              <w:right w:val="single" w:sz="4" w:space="0" w:color="auto"/>
            </w:tcBorders>
            <w:noWrap/>
            <w:vAlign w:val="center"/>
          </w:tcPr>
          <w:p w14:paraId="5F110AF6" w14:textId="6A4546BB" w:rsidR="002C53E9" w:rsidRDefault="002C53E9" w:rsidP="002C53E9">
            <w:pPr>
              <w:ind w:firstLine="0"/>
              <w:jc w:val="right"/>
              <w:rPr>
                <w:rFonts w:ascii="Times New Roman" w:eastAsia="Times New Roman" w:hAnsi="Times New Roman" w:cs="Times New Roman"/>
                <w:sz w:val="20"/>
                <w:szCs w:val="20"/>
                <w:lang w:eastAsia="pt-BR"/>
              </w:rPr>
            </w:pPr>
            <w:r w:rsidRPr="002C53E9">
              <w:rPr>
                <w:rFonts w:ascii="Times New Roman" w:eastAsia="Times New Roman" w:hAnsi="Times New Roman" w:cs="Times New Roman"/>
                <w:sz w:val="20"/>
                <w:szCs w:val="20"/>
                <w:lang w:eastAsia="pt-BR"/>
              </w:rPr>
              <w:t>3.126.752.800,98 </w:t>
            </w:r>
          </w:p>
        </w:tc>
        <w:tc>
          <w:tcPr>
            <w:tcW w:w="1570" w:type="dxa"/>
            <w:tcBorders>
              <w:top w:val="nil"/>
              <w:left w:val="nil"/>
              <w:bottom w:val="single" w:sz="4" w:space="0" w:color="auto"/>
              <w:right w:val="single" w:sz="4" w:space="0" w:color="auto"/>
            </w:tcBorders>
            <w:noWrap/>
            <w:vAlign w:val="center"/>
          </w:tcPr>
          <w:p w14:paraId="2BDE7B00" w14:textId="530BDCA0" w:rsidR="002C53E9" w:rsidRDefault="006F51BE" w:rsidP="002C53E9">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Precatórios/RPVs</w:t>
            </w:r>
          </w:p>
        </w:tc>
      </w:tr>
      <w:tr w:rsidR="002C53E9" w:rsidRPr="00321BD7" w14:paraId="7BDB8BFC" w14:textId="77777777" w:rsidTr="006F51BE">
        <w:trPr>
          <w:trHeight w:val="286"/>
          <w:jc w:val="center"/>
        </w:trPr>
        <w:tc>
          <w:tcPr>
            <w:tcW w:w="573" w:type="dxa"/>
            <w:tcBorders>
              <w:top w:val="nil"/>
              <w:left w:val="single" w:sz="4" w:space="0" w:color="auto"/>
              <w:bottom w:val="single" w:sz="4" w:space="0" w:color="auto"/>
              <w:right w:val="single" w:sz="4" w:space="0" w:color="auto"/>
            </w:tcBorders>
            <w:vAlign w:val="center"/>
          </w:tcPr>
          <w:p w14:paraId="7098763C" w14:textId="071C5416" w:rsidR="002C53E9" w:rsidRPr="00321BD7" w:rsidRDefault="002C53E9" w:rsidP="002C53E9">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1265" w:type="dxa"/>
            <w:tcBorders>
              <w:top w:val="nil"/>
              <w:left w:val="single" w:sz="4" w:space="0" w:color="auto"/>
              <w:bottom w:val="single" w:sz="4" w:space="0" w:color="auto"/>
              <w:right w:val="single" w:sz="4" w:space="0" w:color="auto"/>
            </w:tcBorders>
            <w:vAlign w:val="center"/>
            <w:hideMark/>
          </w:tcPr>
          <w:p w14:paraId="23FCC419" w14:textId="77777777" w:rsidR="002C53E9" w:rsidRPr="00321BD7" w:rsidRDefault="002C53E9" w:rsidP="002C53E9">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459091</w:t>
            </w:r>
          </w:p>
        </w:tc>
        <w:tc>
          <w:tcPr>
            <w:tcW w:w="3544" w:type="dxa"/>
            <w:tcBorders>
              <w:top w:val="nil"/>
              <w:left w:val="nil"/>
              <w:bottom w:val="single" w:sz="4" w:space="0" w:color="auto"/>
              <w:right w:val="single" w:sz="4" w:space="0" w:color="auto"/>
            </w:tcBorders>
            <w:vAlign w:val="center"/>
            <w:hideMark/>
          </w:tcPr>
          <w:p w14:paraId="32FBC6EE" w14:textId="77777777" w:rsidR="002C53E9" w:rsidRPr="00321BD7" w:rsidRDefault="002C53E9" w:rsidP="002C53E9">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Sentenças judiciais – Precatórios/RPV</w:t>
            </w:r>
          </w:p>
        </w:tc>
        <w:tc>
          <w:tcPr>
            <w:tcW w:w="2126" w:type="dxa"/>
            <w:tcBorders>
              <w:top w:val="nil"/>
              <w:left w:val="nil"/>
              <w:bottom w:val="single" w:sz="4" w:space="0" w:color="auto"/>
              <w:right w:val="single" w:sz="4" w:space="0" w:color="auto"/>
            </w:tcBorders>
            <w:noWrap/>
            <w:vAlign w:val="center"/>
            <w:hideMark/>
          </w:tcPr>
          <w:p w14:paraId="000B55C2" w14:textId="46D08598" w:rsidR="002C53E9" w:rsidRPr="00321BD7" w:rsidRDefault="002C53E9" w:rsidP="002C53E9">
            <w:pPr>
              <w:ind w:firstLine="0"/>
              <w:jc w:val="right"/>
              <w:rPr>
                <w:rFonts w:ascii="Times New Roman" w:eastAsia="Times New Roman" w:hAnsi="Times New Roman" w:cs="Times New Roman"/>
                <w:sz w:val="20"/>
                <w:szCs w:val="20"/>
                <w:lang w:eastAsia="pt-BR"/>
              </w:rPr>
            </w:pPr>
            <w:r w:rsidRPr="002C53E9">
              <w:rPr>
                <w:rFonts w:ascii="Times New Roman" w:eastAsia="Times New Roman" w:hAnsi="Times New Roman" w:cs="Times New Roman"/>
                <w:sz w:val="20"/>
                <w:szCs w:val="20"/>
                <w:lang w:eastAsia="pt-BR"/>
              </w:rPr>
              <w:t>111.571.211,06 </w:t>
            </w:r>
          </w:p>
        </w:tc>
        <w:tc>
          <w:tcPr>
            <w:tcW w:w="1570" w:type="dxa"/>
            <w:tcBorders>
              <w:top w:val="nil"/>
              <w:left w:val="nil"/>
              <w:bottom w:val="single" w:sz="4" w:space="0" w:color="auto"/>
              <w:right w:val="single" w:sz="4" w:space="0" w:color="auto"/>
            </w:tcBorders>
            <w:noWrap/>
            <w:vAlign w:val="center"/>
            <w:hideMark/>
          </w:tcPr>
          <w:p w14:paraId="4DE596EB" w14:textId="1F585864" w:rsidR="002C53E9" w:rsidRPr="00321BD7" w:rsidRDefault="006F51BE" w:rsidP="002C53E9">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Precatórios/RPVs</w:t>
            </w:r>
          </w:p>
        </w:tc>
      </w:tr>
    </w:tbl>
    <w:p w14:paraId="30964F7D" w14:textId="110198F5" w:rsidR="001F2898" w:rsidRPr="005F5528" w:rsidRDefault="00F80600" w:rsidP="00CC76D2">
      <w:pPr>
        <w:ind w:left="708" w:right="12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lang w:eastAsia="pt-BR"/>
        </w:rPr>
        <w:t>Fonte: P</w:t>
      </w:r>
      <w:r w:rsidRPr="00EE3DC2">
        <w:rPr>
          <w:rFonts w:ascii="Times New Roman" w:eastAsia="Times New Roman" w:hAnsi="Times New Roman" w:cs="Times New Roman"/>
          <w:color w:val="000000"/>
          <w:sz w:val="20"/>
          <w:szCs w:val="20"/>
          <w:lang w:eastAsia="pt-BR"/>
        </w:rPr>
        <w:t>320.1 - Materialidade - 31/07/202</w:t>
      </w:r>
      <w:r w:rsidR="00A91370">
        <w:rPr>
          <w:rFonts w:ascii="Times New Roman" w:eastAsia="Times New Roman" w:hAnsi="Times New Roman" w:cs="Times New Roman"/>
          <w:color w:val="000000"/>
          <w:sz w:val="20"/>
          <w:szCs w:val="20"/>
          <w:lang w:eastAsia="pt-BR"/>
        </w:rPr>
        <w:t>5</w:t>
      </w:r>
      <w:r>
        <w:rPr>
          <w:rFonts w:ascii="Times New Roman" w:eastAsia="Times New Roman" w:hAnsi="Times New Roman" w:cs="Times New Roman"/>
          <w:color w:val="000000"/>
          <w:sz w:val="20"/>
          <w:szCs w:val="20"/>
          <w:lang w:eastAsia="pt-BR"/>
        </w:rPr>
        <w:t xml:space="preserve"> (id. </w:t>
      </w:r>
      <w:r w:rsidR="00A91370" w:rsidRPr="00BD7386">
        <w:rPr>
          <w:rFonts w:ascii="Times New Roman" w:hAnsi="Times New Roman" w:cs="Times New Roman"/>
          <w:sz w:val="20"/>
          <w:szCs w:val="20"/>
        </w:rPr>
        <w:t>1337275</w:t>
      </w:r>
      <w:r w:rsidRPr="00EE3DC2">
        <w:rPr>
          <w:rFonts w:ascii="Times New Roman" w:eastAsia="Times New Roman" w:hAnsi="Times New Roman" w:cs="Times New Roman"/>
          <w:color w:val="000000"/>
          <w:sz w:val="20"/>
          <w:szCs w:val="20"/>
          <w:lang w:eastAsia="pt-BR"/>
        </w:rPr>
        <w:t>)</w:t>
      </w:r>
    </w:p>
    <w:p w14:paraId="11743B84" w14:textId="77777777" w:rsidR="00E312EB" w:rsidRDefault="00E312EB" w:rsidP="00E312EB">
      <w:pPr>
        <w:ind w:right="119"/>
        <w:jc w:val="both"/>
        <w:rPr>
          <w:rFonts w:ascii="Times New Roman" w:eastAsia="Times New Roman" w:hAnsi="Times New Roman" w:cs="Times New Roman"/>
          <w:color w:val="000000"/>
          <w:sz w:val="24"/>
          <w:szCs w:val="24"/>
          <w:lang w:eastAsia="pt-BR"/>
        </w:rPr>
      </w:pPr>
    </w:p>
    <w:p w14:paraId="331BE6E9" w14:textId="1FD05010" w:rsidR="005F5528" w:rsidRDefault="00A61C3A" w:rsidP="005F5528">
      <w:pPr>
        <w:spacing w:before="120"/>
        <w:ind w:right="119"/>
        <w:jc w:val="both"/>
        <w:rPr>
          <w:rFonts w:ascii="Times New Roman" w:eastAsia="Times New Roman" w:hAnsi="Times New Roman" w:cs="Times New Roman"/>
          <w:color w:val="000000"/>
          <w:sz w:val="24"/>
          <w:szCs w:val="24"/>
          <w:lang w:eastAsia="pt-BR"/>
        </w:rPr>
      </w:pPr>
      <w:r w:rsidRPr="00B72842">
        <w:rPr>
          <w:rFonts w:ascii="Times New Roman" w:eastAsia="Times New Roman" w:hAnsi="Times New Roman" w:cs="Times New Roman"/>
          <w:color w:val="000000"/>
          <w:sz w:val="24"/>
          <w:szCs w:val="24"/>
          <w:lang w:eastAsia="pt-BR"/>
        </w:rPr>
        <w:t xml:space="preserve">As contas selecionadas pela equipe de auditoria pela relevância qualitativa (pela natureza) foram aquelas que, mesmo o saldo sendo inferior ao valor da ME, a equipe entende que há risco </w:t>
      </w:r>
      <w:r w:rsidRPr="00B72842">
        <w:rPr>
          <w:rFonts w:ascii="Times New Roman" w:eastAsia="Times New Roman" w:hAnsi="Times New Roman" w:cs="Times New Roman"/>
          <w:color w:val="000000"/>
          <w:sz w:val="24"/>
          <w:szCs w:val="24"/>
          <w:lang w:eastAsia="pt-BR"/>
        </w:rPr>
        <w:lastRenderedPageBreak/>
        <w:t>de distorção relevante pelas circunstâncias das referida</w:t>
      </w:r>
      <w:r w:rsidR="005E44B4">
        <w:rPr>
          <w:rFonts w:ascii="Times New Roman" w:eastAsia="Times New Roman" w:hAnsi="Times New Roman" w:cs="Times New Roman"/>
          <w:color w:val="000000"/>
          <w:sz w:val="24"/>
          <w:szCs w:val="24"/>
          <w:lang w:eastAsia="pt-BR"/>
        </w:rPr>
        <w:t>s contas ou porque compusera</w:t>
      </w:r>
      <w:r w:rsidRPr="00B72842">
        <w:rPr>
          <w:rFonts w:ascii="Times New Roman" w:eastAsia="Times New Roman" w:hAnsi="Times New Roman" w:cs="Times New Roman"/>
          <w:color w:val="000000"/>
          <w:sz w:val="24"/>
          <w:szCs w:val="24"/>
          <w:lang w:eastAsia="pt-BR"/>
        </w:rPr>
        <w:t>m os ciclos contábeis sele</w:t>
      </w:r>
      <w:r w:rsidR="00110F3F">
        <w:rPr>
          <w:rFonts w:ascii="Times New Roman" w:eastAsia="Times New Roman" w:hAnsi="Times New Roman" w:cs="Times New Roman"/>
          <w:color w:val="000000"/>
          <w:sz w:val="24"/>
          <w:szCs w:val="24"/>
          <w:lang w:eastAsia="pt-BR"/>
        </w:rPr>
        <w:t xml:space="preserve">cionados - pessoal, patrimônio, </w:t>
      </w:r>
      <w:r w:rsidRPr="00B72842">
        <w:rPr>
          <w:rFonts w:ascii="Times New Roman" w:eastAsia="Times New Roman" w:hAnsi="Times New Roman" w:cs="Times New Roman"/>
          <w:color w:val="000000"/>
          <w:sz w:val="24"/>
          <w:szCs w:val="24"/>
          <w:lang w:eastAsia="pt-BR"/>
        </w:rPr>
        <w:t>contratações</w:t>
      </w:r>
      <w:r w:rsidR="001F5E67">
        <w:rPr>
          <w:rFonts w:ascii="Times New Roman" w:eastAsia="Times New Roman" w:hAnsi="Times New Roman" w:cs="Times New Roman"/>
          <w:color w:val="000000"/>
          <w:sz w:val="24"/>
          <w:szCs w:val="24"/>
          <w:lang w:eastAsia="pt-BR"/>
        </w:rPr>
        <w:t xml:space="preserve"> </w:t>
      </w:r>
      <w:r w:rsidR="0076534D">
        <w:rPr>
          <w:rFonts w:ascii="Times New Roman" w:eastAsia="Times New Roman" w:hAnsi="Times New Roman" w:cs="Times New Roman"/>
          <w:color w:val="000000"/>
          <w:sz w:val="24"/>
          <w:szCs w:val="24"/>
          <w:lang w:eastAsia="pt-BR"/>
        </w:rPr>
        <w:t>e precatório</w:t>
      </w:r>
      <w:r w:rsidR="009E630C">
        <w:rPr>
          <w:rFonts w:ascii="Times New Roman" w:eastAsia="Times New Roman" w:hAnsi="Times New Roman" w:cs="Times New Roman"/>
          <w:color w:val="000000"/>
          <w:sz w:val="24"/>
          <w:szCs w:val="24"/>
          <w:lang w:eastAsia="pt-BR"/>
        </w:rPr>
        <w:t>s</w:t>
      </w:r>
      <w:r w:rsidR="00036676">
        <w:rPr>
          <w:rFonts w:ascii="Times New Roman" w:eastAsia="Times New Roman" w:hAnsi="Times New Roman" w:cs="Times New Roman"/>
          <w:color w:val="000000"/>
          <w:sz w:val="24"/>
          <w:szCs w:val="24"/>
          <w:lang w:eastAsia="pt-BR"/>
        </w:rPr>
        <w:t xml:space="preserve"> e RPVs, constantes da Tabela </w:t>
      </w:r>
      <w:r w:rsidR="00DD7DC3">
        <w:rPr>
          <w:rFonts w:ascii="Times New Roman" w:eastAsia="Times New Roman" w:hAnsi="Times New Roman" w:cs="Times New Roman"/>
          <w:color w:val="000000"/>
          <w:sz w:val="24"/>
          <w:szCs w:val="24"/>
          <w:lang w:eastAsia="pt-BR"/>
        </w:rPr>
        <w:t>8</w:t>
      </w:r>
      <w:r w:rsidR="00036676">
        <w:rPr>
          <w:rFonts w:ascii="Times New Roman" w:eastAsia="Times New Roman" w:hAnsi="Times New Roman" w:cs="Times New Roman"/>
          <w:color w:val="000000"/>
          <w:sz w:val="24"/>
          <w:szCs w:val="24"/>
          <w:lang w:eastAsia="pt-BR"/>
        </w:rPr>
        <w:t xml:space="preserve"> e </w:t>
      </w:r>
      <w:r w:rsidR="00DD7DC3">
        <w:rPr>
          <w:rFonts w:ascii="Times New Roman" w:eastAsia="Times New Roman" w:hAnsi="Times New Roman" w:cs="Times New Roman"/>
          <w:color w:val="000000"/>
          <w:sz w:val="24"/>
          <w:szCs w:val="24"/>
          <w:lang w:eastAsia="pt-BR"/>
        </w:rPr>
        <w:t>9</w:t>
      </w:r>
      <w:r w:rsidRPr="00B72842">
        <w:rPr>
          <w:rFonts w:ascii="Times New Roman" w:eastAsia="Times New Roman" w:hAnsi="Times New Roman" w:cs="Times New Roman"/>
          <w:color w:val="000000"/>
          <w:sz w:val="24"/>
          <w:szCs w:val="24"/>
          <w:lang w:eastAsia="pt-BR"/>
        </w:rPr>
        <w:t>.</w:t>
      </w:r>
    </w:p>
    <w:p w14:paraId="507635B6" w14:textId="77777777" w:rsidR="008847F7" w:rsidRPr="00A6652E" w:rsidRDefault="008847F7" w:rsidP="008847F7">
      <w:pPr>
        <w:ind w:right="119"/>
        <w:jc w:val="both"/>
        <w:rPr>
          <w:rFonts w:ascii="Times New Roman" w:eastAsia="Times New Roman" w:hAnsi="Times New Roman" w:cs="Times New Roman"/>
          <w:color w:val="000000"/>
          <w:sz w:val="24"/>
          <w:szCs w:val="24"/>
          <w:lang w:eastAsia="pt-BR"/>
        </w:rPr>
      </w:pPr>
    </w:p>
    <w:p w14:paraId="378F6D39" w14:textId="5B73EDAD" w:rsidR="00634ADA" w:rsidRPr="00634ADA" w:rsidRDefault="00321167" w:rsidP="00634ADA">
      <w:pPr>
        <w:ind w:right="120" w:firstLine="0"/>
        <w:jc w:val="center"/>
        <w:rPr>
          <w:rFonts w:ascii="Times New Roman" w:eastAsia="Times New Roman" w:hAnsi="Times New Roman" w:cs="Times New Roman"/>
          <w:sz w:val="20"/>
          <w:szCs w:val="20"/>
          <w:lang w:eastAsia="pt-BR"/>
        </w:rPr>
      </w:pPr>
      <w:r w:rsidRPr="00405815">
        <w:rPr>
          <w:rFonts w:ascii="Times New Roman" w:eastAsia="Times New Roman" w:hAnsi="Times New Roman" w:cs="Times New Roman"/>
          <w:b/>
          <w:bCs/>
          <w:color w:val="000000"/>
          <w:sz w:val="20"/>
          <w:szCs w:val="20"/>
          <w:lang w:eastAsia="pt-BR"/>
        </w:rPr>
        <w:t xml:space="preserve">Tabela </w:t>
      </w:r>
      <w:r w:rsidR="00DD7DC3">
        <w:rPr>
          <w:rFonts w:ascii="Times New Roman" w:eastAsia="Times New Roman" w:hAnsi="Times New Roman" w:cs="Times New Roman"/>
          <w:b/>
          <w:bCs/>
          <w:color w:val="000000"/>
          <w:sz w:val="20"/>
          <w:szCs w:val="20"/>
          <w:lang w:eastAsia="pt-BR"/>
        </w:rPr>
        <w:t>8</w:t>
      </w:r>
      <w:r w:rsidR="00A61C3A" w:rsidRPr="00405815">
        <w:rPr>
          <w:rFonts w:ascii="Times New Roman" w:eastAsia="Times New Roman" w:hAnsi="Times New Roman" w:cs="Times New Roman"/>
          <w:b/>
          <w:bCs/>
          <w:color w:val="000000"/>
          <w:sz w:val="20"/>
          <w:szCs w:val="20"/>
          <w:lang w:eastAsia="pt-BR"/>
        </w:rPr>
        <w:t xml:space="preserve"> – Contas significativas por rel</w:t>
      </w:r>
      <w:r w:rsidR="00405815">
        <w:rPr>
          <w:rFonts w:ascii="Times New Roman" w:eastAsia="Times New Roman" w:hAnsi="Times New Roman" w:cs="Times New Roman"/>
          <w:b/>
          <w:bCs/>
          <w:color w:val="000000"/>
          <w:sz w:val="20"/>
          <w:szCs w:val="20"/>
          <w:lang w:eastAsia="pt-BR"/>
        </w:rPr>
        <w:t xml:space="preserve">evância qualitativa - </w:t>
      </w:r>
      <w:r w:rsidR="00B461C9">
        <w:rPr>
          <w:rFonts w:ascii="Times New Roman" w:eastAsia="Times New Roman" w:hAnsi="Times New Roman" w:cs="Times New Roman"/>
          <w:b/>
          <w:bCs/>
          <w:color w:val="000000"/>
          <w:sz w:val="20"/>
          <w:szCs w:val="20"/>
          <w:lang w:eastAsia="pt-BR"/>
        </w:rPr>
        <w:t>j</w:t>
      </w:r>
      <w:r w:rsidR="00405815">
        <w:rPr>
          <w:rFonts w:ascii="Times New Roman" w:eastAsia="Times New Roman" w:hAnsi="Times New Roman" w:cs="Times New Roman"/>
          <w:b/>
          <w:bCs/>
          <w:color w:val="000000"/>
          <w:sz w:val="20"/>
          <w:szCs w:val="20"/>
          <w:lang w:eastAsia="pt-BR"/>
        </w:rPr>
        <w:t>ulho/202</w:t>
      </w:r>
      <w:r w:rsidR="00FF3F92">
        <w:rPr>
          <w:rFonts w:ascii="Times New Roman" w:eastAsia="Times New Roman" w:hAnsi="Times New Roman" w:cs="Times New Roman"/>
          <w:b/>
          <w:bCs/>
          <w:color w:val="000000"/>
          <w:sz w:val="20"/>
          <w:szCs w:val="20"/>
          <w:lang w:eastAsia="pt-BR"/>
        </w:rPr>
        <w:t>5</w:t>
      </w:r>
      <w:r w:rsidR="002322B8" w:rsidRPr="00405815">
        <w:rPr>
          <w:rFonts w:ascii="Times New Roman" w:eastAsia="Times New Roman" w:hAnsi="Times New Roman" w:cs="Times New Roman"/>
          <w:b/>
          <w:bCs/>
          <w:color w:val="000000"/>
          <w:sz w:val="20"/>
          <w:szCs w:val="20"/>
          <w:lang w:eastAsia="pt-BR"/>
        </w:rPr>
        <w:t xml:space="preserve"> </w:t>
      </w:r>
      <w:r w:rsidR="00A61C3A" w:rsidRPr="00405815">
        <w:rPr>
          <w:rFonts w:ascii="Times New Roman" w:eastAsia="Times New Roman" w:hAnsi="Times New Roman" w:cs="Times New Roman"/>
          <w:b/>
          <w:bCs/>
          <w:color w:val="000000"/>
          <w:sz w:val="20"/>
          <w:szCs w:val="20"/>
          <w:lang w:eastAsia="pt-BR"/>
        </w:rPr>
        <w:t>- Escopo</w:t>
      </w:r>
    </w:p>
    <w:tbl>
      <w:tblPr>
        <w:tblW w:w="0" w:type="auto"/>
        <w:jc w:val="center"/>
        <w:tblCellMar>
          <w:left w:w="70" w:type="dxa"/>
          <w:right w:w="70" w:type="dxa"/>
        </w:tblCellMar>
        <w:tblLook w:val="04A0" w:firstRow="1" w:lastRow="0" w:firstColumn="1" w:lastColumn="0" w:noHBand="0" w:noVBand="1"/>
      </w:tblPr>
      <w:tblGrid>
        <w:gridCol w:w="502"/>
        <w:gridCol w:w="1136"/>
        <w:gridCol w:w="4209"/>
        <w:gridCol w:w="1934"/>
        <w:gridCol w:w="1563"/>
      </w:tblGrid>
      <w:tr w:rsidR="00030041" w:rsidRPr="00634ADA" w14:paraId="3AEB6043" w14:textId="77777777" w:rsidTr="00713094">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000000" w:fill="E6E6E6"/>
            <w:vAlign w:val="center"/>
            <w:hideMark/>
          </w:tcPr>
          <w:p w14:paraId="52BC5AE1" w14:textId="77777777" w:rsidR="00634ADA" w:rsidRPr="00634ADA" w:rsidRDefault="00634ADA" w:rsidP="00634ADA">
            <w:pPr>
              <w:ind w:firstLine="0"/>
              <w:jc w:val="center"/>
              <w:rPr>
                <w:rFonts w:ascii="Times New Roman" w:eastAsia="Times New Roman" w:hAnsi="Times New Roman" w:cs="Times New Roman"/>
                <w:b/>
                <w:bCs/>
                <w:color w:val="000000"/>
                <w:sz w:val="20"/>
                <w:szCs w:val="20"/>
                <w:lang w:eastAsia="pt-BR"/>
              </w:rPr>
            </w:pPr>
            <w:r w:rsidRPr="00634ADA">
              <w:rPr>
                <w:rFonts w:ascii="Times New Roman" w:eastAsia="Times New Roman" w:hAnsi="Times New Roman" w:cs="Times New Roman"/>
                <w:b/>
                <w:bCs/>
                <w:color w:val="000000"/>
                <w:sz w:val="20"/>
                <w:szCs w:val="20"/>
                <w:lang w:eastAsia="pt-BR"/>
              </w:rPr>
              <w:t>Seq.</w:t>
            </w:r>
          </w:p>
        </w:tc>
        <w:tc>
          <w:tcPr>
            <w:tcW w:w="0" w:type="auto"/>
            <w:tcBorders>
              <w:top w:val="single" w:sz="4" w:space="0" w:color="auto"/>
              <w:left w:val="nil"/>
              <w:bottom w:val="single" w:sz="4" w:space="0" w:color="auto"/>
              <w:right w:val="single" w:sz="4" w:space="0" w:color="auto"/>
            </w:tcBorders>
            <w:shd w:val="clear" w:color="000000" w:fill="E6E6E6"/>
            <w:vAlign w:val="center"/>
            <w:hideMark/>
          </w:tcPr>
          <w:p w14:paraId="1EF74A06" w14:textId="77777777" w:rsidR="00634ADA" w:rsidRPr="00634ADA" w:rsidRDefault="00634ADA" w:rsidP="00634ADA">
            <w:pPr>
              <w:ind w:firstLine="0"/>
              <w:jc w:val="center"/>
              <w:rPr>
                <w:rFonts w:ascii="Times New Roman" w:eastAsia="Times New Roman" w:hAnsi="Times New Roman" w:cs="Times New Roman"/>
                <w:b/>
                <w:bCs/>
                <w:color w:val="000000"/>
                <w:sz w:val="20"/>
                <w:szCs w:val="20"/>
                <w:lang w:eastAsia="pt-BR"/>
              </w:rPr>
            </w:pPr>
            <w:r w:rsidRPr="00634ADA">
              <w:rPr>
                <w:rFonts w:ascii="Times New Roman" w:eastAsia="Times New Roman" w:hAnsi="Times New Roman" w:cs="Times New Roman"/>
                <w:b/>
                <w:bCs/>
                <w:color w:val="000000"/>
                <w:sz w:val="20"/>
                <w:szCs w:val="20"/>
                <w:lang w:eastAsia="pt-BR"/>
              </w:rPr>
              <w:t>Código da conta</w:t>
            </w:r>
          </w:p>
        </w:tc>
        <w:tc>
          <w:tcPr>
            <w:tcW w:w="4209" w:type="dxa"/>
            <w:tcBorders>
              <w:top w:val="single" w:sz="4" w:space="0" w:color="auto"/>
              <w:left w:val="nil"/>
              <w:bottom w:val="single" w:sz="4" w:space="0" w:color="auto"/>
              <w:right w:val="single" w:sz="4" w:space="0" w:color="auto"/>
            </w:tcBorders>
            <w:shd w:val="clear" w:color="000000" w:fill="E6E6E6"/>
            <w:vAlign w:val="center"/>
            <w:hideMark/>
          </w:tcPr>
          <w:p w14:paraId="0FDF8B52" w14:textId="77777777" w:rsidR="00634ADA" w:rsidRPr="00634ADA" w:rsidRDefault="00634ADA" w:rsidP="00634ADA">
            <w:pPr>
              <w:ind w:firstLine="0"/>
              <w:jc w:val="center"/>
              <w:rPr>
                <w:rFonts w:ascii="Times New Roman" w:eastAsia="Times New Roman" w:hAnsi="Times New Roman" w:cs="Times New Roman"/>
                <w:b/>
                <w:bCs/>
                <w:color w:val="000000"/>
                <w:sz w:val="20"/>
                <w:szCs w:val="20"/>
                <w:lang w:eastAsia="pt-BR"/>
              </w:rPr>
            </w:pPr>
            <w:r w:rsidRPr="00634ADA">
              <w:rPr>
                <w:rFonts w:ascii="Times New Roman" w:eastAsia="Times New Roman" w:hAnsi="Times New Roman" w:cs="Times New Roman"/>
                <w:b/>
                <w:bCs/>
                <w:color w:val="000000"/>
                <w:sz w:val="20"/>
                <w:szCs w:val="20"/>
                <w:lang w:eastAsia="pt-BR"/>
              </w:rPr>
              <w:t>Descrição Conta contábil</w:t>
            </w:r>
          </w:p>
        </w:tc>
        <w:tc>
          <w:tcPr>
            <w:tcW w:w="1934" w:type="dxa"/>
            <w:tcBorders>
              <w:top w:val="single" w:sz="4" w:space="0" w:color="auto"/>
              <w:left w:val="nil"/>
              <w:bottom w:val="single" w:sz="4" w:space="0" w:color="auto"/>
              <w:right w:val="single" w:sz="4" w:space="0" w:color="auto"/>
            </w:tcBorders>
            <w:shd w:val="clear" w:color="000000" w:fill="E6E6E6"/>
            <w:vAlign w:val="center"/>
            <w:hideMark/>
          </w:tcPr>
          <w:p w14:paraId="0DF072AD" w14:textId="77777777" w:rsidR="00634ADA" w:rsidRPr="00634ADA" w:rsidRDefault="00634ADA" w:rsidP="00634ADA">
            <w:pPr>
              <w:ind w:firstLine="0"/>
              <w:jc w:val="right"/>
              <w:rPr>
                <w:rFonts w:ascii="Times New Roman" w:eastAsia="Times New Roman" w:hAnsi="Times New Roman" w:cs="Times New Roman"/>
                <w:b/>
                <w:bCs/>
                <w:color w:val="000000"/>
                <w:sz w:val="20"/>
                <w:szCs w:val="20"/>
                <w:lang w:eastAsia="pt-BR"/>
              </w:rPr>
            </w:pPr>
            <w:r w:rsidRPr="00634ADA">
              <w:rPr>
                <w:rFonts w:ascii="Times New Roman" w:eastAsia="Times New Roman" w:hAnsi="Times New Roman" w:cs="Times New Roman"/>
                <w:b/>
                <w:bCs/>
                <w:color w:val="000000"/>
                <w:sz w:val="20"/>
                <w:szCs w:val="20"/>
                <w:lang w:eastAsia="pt-BR"/>
              </w:rPr>
              <w:t>Valor monetário da conta ou saldo (R$)</w:t>
            </w:r>
          </w:p>
        </w:tc>
        <w:tc>
          <w:tcPr>
            <w:tcW w:w="0" w:type="auto"/>
            <w:tcBorders>
              <w:top w:val="single" w:sz="4" w:space="0" w:color="auto"/>
              <w:left w:val="nil"/>
              <w:bottom w:val="single" w:sz="4" w:space="0" w:color="auto"/>
              <w:right w:val="single" w:sz="4" w:space="0" w:color="auto"/>
            </w:tcBorders>
            <w:shd w:val="clear" w:color="000000" w:fill="E6E6E6"/>
            <w:vAlign w:val="center"/>
            <w:hideMark/>
          </w:tcPr>
          <w:p w14:paraId="5C6C1EED" w14:textId="77777777" w:rsidR="00634ADA" w:rsidRPr="00634ADA" w:rsidRDefault="00634ADA" w:rsidP="00634ADA">
            <w:pPr>
              <w:ind w:firstLine="0"/>
              <w:jc w:val="center"/>
              <w:rPr>
                <w:rFonts w:ascii="Times New Roman" w:eastAsia="Times New Roman" w:hAnsi="Times New Roman" w:cs="Times New Roman"/>
                <w:b/>
                <w:bCs/>
                <w:color w:val="000000"/>
                <w:sz w:val="20"/>
                <w:szCs w:val="20"/>
                <w:lang w:eastAsia="pt-BR"/>
              </w:rPr>
            </w:pPr>
            <w:r w:rsidRPr="00634ADA">
              <w:rPr>
                <w:rFonts w:ascii="Times New Roman" w:eastAsia="Times New Roman" w:hAnsi="Times New Roman" w:cs="Times New Roman"/>
                <w:b/>
                <w:bCs/>
                <w:color w:val="000000"/>
                <w:sz w:val="20"/>
                <w:szCs w:val="20"/>
                <w:lang w:eastAsia="pt-BR"/>
              </w:rPr>
              <w:t>Ciclo Contábil</w:t>
            </w:r>
          </w:p>
        </w:tc>
      </w:tr>
      <w:tr w:rsidR="00030041" w:rsidRPr="00634ADA" w14:paraId="4DE61F29"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72D8AEF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w:t>
            </w:r>
          </w:p>
        </w:tc>
        <w:tc>
          <w:tcPr>
            <w:tcW w:w="0" w:type="auto"/>
            <w:tcBorders>
              <w:top w:val="nil"/>
              <w:left w:val="nil"/>
              <w:bottom w:val="single" w:sz="4" w:space="0" w:color="auto"/>
              <w:right w:val="single" w:sz="4" w:space="0" w:color="auto"/>
            </w:tcBorders>
            <w:vAlign w:val="center"/>
            <w:hideMark/>
          </w:tcPr>
          <w:p w14:paraId="7DBD6EFB"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113110101</w:t>
            </w:r>
          </w:p>
        </w:tc>
        <w:tc>
          <w:tcPr>
            <w:tcW w:w="4209" w:type="dxa"/>
            <w:tcBorders>
              <w:top w:val="nil"/>
              <w:left w:val="nil"/>
              <w:bottom w:val="single" w:sz="4" w:space="0" w:color="auto"/>
              <w:right w:val="single" w:sz="4" w:space="0" w:color="auto"/>
            </w:tcBorders>
            <w:vAlign w:val="center"/>
            <w:hideMark/>
          </w:tcPr>
          <w:p w14:paraId="67577C02"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13º Salário - Adiantamento</w:t>
            </w:r>
          </w:p>
        </w:tc>
        <w:tc>
          <w:tcPr>
            <w:tcW w:w="1934" w:type="dxa"/>
            <w:tcBorders>
              <w:top w:val="nil"/>
              <w:left w:val="nil"/>
              <w:bottom w:val="single" w:sz="4" w:space="0" w:color="auto"/>
              <w:right w:val="single" w:sz="4" w:space="0" w:color="auto"/>
            </w:tcBorders>
            <w:vAlign w:val="center"/>
            <w:hideMark/>
          </w:tcPr>
          <w:p w14:paraId="223D371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w:t>
            </w:r>
          </w:p>
        </w:tc>
        <w:tc>
          <w:tcPr>
            <w:tcW w:w="0" w:type="auto"/>
            <w:tcBorders>
              <w:top w:val="nil"/>
              <w:left w:val="nil"/>
              <w:bottom w:val="single" w:sz="4" w:space="0" w:color="auto"/>
              <w:right w:val="single" w:sz="4" w:space="0" w:color="auto"/>
            </w:tcBorders>
            <w:vAlign w:val="center"/>
            <w:hideMark/>
          </w:tcPr>
          <w:p w14:paraId="21762E9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4EED9944"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0464C9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w:t>
            </w:r>
          </w:p>
        </w:tc>
        <w:tc>
          <w:tcPr>
            <w:tcW w:w="0" w:type="auto"/>
            <w:tcBorders>
              <w:top w:val="nil"/>
              <w:left w:val="nil"/>
              <w:bottom w:val="single" w:sz="4" w:space="0" w:color="auto"/>
              <w:right w:val="single" w:sz="4" w:space="0" w:color="auto"/>
            </w:tcBorders>
            <w:vAlign w:val="center"/>
            <w:hideMark/>
          </w:tcPr>
          <w:p w14:paraId="73F5683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113110102</w:t>
            </w:r>
          </w:p>
        </w:tc>
        <w:tc>
          <w:tcPr>
            <w:tcW w:w="4209" w:type="dxa"/>
            <w:tcBorders>
              <w:top w:val="nil"/>
              <w:left w:val="nil"/>
              <w:bottom w:val="single" w:sz="4" w:space="0" w:color="auto"/>
              <w:right w:val="single" w:sz="4" w:space="0" w:color="auto"/>
            </w:tcBorders>
            <w:vAlign w:val="center"/>
            <w:hideMark/>
          </w:tcPr>
          <w:p w14:paraId="28ABEFA2"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Adiantamento de Férias</w:t>
            </w:r>
          </w:p>
        </w:tc>
        <w:tc>
          <w:tcPr>
            <w:tcW w:w="1934" w:type="dxa"/>
            <w:tcBorders>
              <w:top w:val="nil"/>
              <w:left w:val="nil"/>
              <w:bottom w:val="single" w:sz="4" w:space="0" w:color="auto"/>
              <w:right w:val="single" w:sz="4" w:space="0" w:color="auto"/>
            </w:tcBorders>
            <w:vAlign w:val="center"/>
            <w:hideMark/>
          </w:tcPr>
          <w:p w14:paraId="6714D1D2"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w:t>
            </w:r>
          </w:p>
        </w:tc>
        <w:tc>
          <w:tcPr>
            <w:tcW w:w="0" w:type="auto"/>
            <w:tcBorders>
              <w:top w:val="nil"/>
              <w:left w:val="nil"/>
              <w:bottom w:val="single" w:sz="4" w:space="0" w:color="auto"/>
              <w:right w:val="single" w:sz="4" w:space="0" w:color="auto"/>
            </w:tcBorders>
            <w:vAlign w:val="center"/>
            <w:hideMark/>
          </w:tcPr>
          <w:p w14:paraId="24C2596E"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135B81FF"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0C1DAA6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w:t>
            </w:r>
          </w:p>
        </w:tc>
        <w:tc>
          <w:tcPr>
            <w:tcW w:w="0" w:type="auto"/>
            <w:tcBorders>
              <w:top w:val="nil"/>
              <w:left w:val="nil"/>
              <w:bottom w:val="single" w:sz="4" w:space="0" w:color="auto"/>
              <w:right w:val="single" w:sz="4" w:space="0" w:color="auto"/>
            </w:tcBorders>
            <w:vAlign w:val="center"/>
            <w:hideMark/>
          </w:tcPr>
          <w:p w14:paraId="691F366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113110105</w:t>
            </w:r>
          </w:p>
        </w:tc>
        <w:tc>
          <w:tcPr>
            <w:tcW w:w="4209" w:type="dxa"/>
            <w:tcBorders>
              <w:top w:val="nil"/>
              <w:left w:val="nil"/>
              <w:bottom w:val="single" w:sz="4" w:space="0" w:color="auto"/>
              <w:right w:val="single" w:sz="4" w:space="0" w:color="auto"/>
            </w:tcBorders>
            <w:vAlign w:val="center"/>
            <w:hideMark/>
          </w:tcPr>
          <w:p w14:paraId="6D776A27"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Salários e Ordenados - Pagamento Antecipado</w:t>
            </w:r>
          </w:p>
        </w:tc>
        <w:tc>
          <w:tcPr>
            <w:tcW w:w="1934" w:type="dxa"/>
            <w:tcBorders>
              <w:top w:val="nil"/>
              <w:left w:val="nil"/>
              <w:bottom w:val="single" w:sz="4" w:space="0" w:color="auto"/>
              <w:right w:val="single" w:sz="4" w:space="0" w:color="auto"/>
            </w:tcBorders>
            <w:vAlign w:val="center"/>
            <w:hideMark/>
          </w:tcPr>
          <w:p w14:paraId="19305EB8"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306.600,80 </w:t>
            </w:r>
          </w:p>
        </w:tc>
        <w:tc>
          <w:tcPr>
            <w:tcW w:w="0" w:type="auto"/>
            <w:tcBorders>
              <w:top w:val="nil"/>
              <w:left w:val="nil"/>
              <w:bottom w:val="single" w:sz="4" w:space="0" w:color="auto"/>
              <w:right w:val="single" w:sz="4" w:space="0" w:color="auto"/>
            </w:tcBorders>
            <w:vAlign w:val="center"/>
            <w:hideMark/>
          </w:tcPr>
          <w:p w14:paraId="6FAE78C1"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4DD67F5E"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896CD1C"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p>
        </w:tc>
        <w:tc>
          <w:tcPr>
            <w:tcW w:w="0" w:type="auto"/>
            <w:tcBorders>
              <w:top w:val="nil"/>
              <w:left w:val="nil"/>
              <w:bottom w:val="single" w:sz="4" w:space="0" w:color="auto"/>
              <w:right w:val="single" w:sz="4" w:space="0" w:color="auto"/>
            </w:tcBorders>
            <w:vAlign w:val="center"/>
            <w:hideMark/>
          </w:tcPr>
          <w:p w14:paraId="0C476ADD"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113110107</w:t>
            </w:r>
          </w:p>
        </w:tc>
        <w:tc>
          <w:tcPr>
            <w:tcW w:w="4209" w:type="dxa"/>
            <w:tcBorders>
              <w:top w:val="nil"/>
              <w:left w:val="nil"/>
              <w:bottom w:val="single" w:sz="4" w:space="0" w:color="auto"/>
              <w:right w:val="single" w:sz="4" w:space="0" w:color="auto"/>
            </w:tcBorders>
            <w:vAlign w:val="center"/>
            <w:hideMark/>
          </w:tcPr>
          <w:p w14:paraId="2ADB62E6"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Adiantamento Vale Alimentação</w:t>
            </w:r>
          </w:p>
        </w:tc>
        <w:tc>
          <w:tcPr>
            <w:tcW w:w="1934" w:type="dxa"/>
            <w:tcBorders>
              <w:top w:val="nil"/>
              <w:left w:val="nil"/>
              <w:bottom w:val="single" w:sz="4" w:space="0" w:color="auto"/>
              <w:right w:val="single" w:sz="4" w:space="0" w:color="auto"/>
            </w:tcBorders>
            <w:vAlign w:val="center"/>
            <w:hideMark/>
          </w:tcPr>
          <w:p w14:paraId="3D6DD763"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3.856.446,15 </w:t>
            </w:r>
          </w:p>
        </w:tc>
        <w:tc>
          <w:tcPr>
            <w:tcW w:w="0" w:type="auto"/>
            <w:tcBorders>
              <w:top w:val="nil"/>
              <w:left w:val="nil"/>
              <w:bottom w:val="single" w:sz="4" w:space="0" w:color="auto"/>
              <w:right w:val="single" w:sz="4" w:space="0" w:color="auto"/>
            </w:tcBorders>
            <w:vAlign w:val="center"/>
            <w:hideMark/>
          </w:tcPr>
          <w:p w14:paraId="39ECD5E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77025AEC"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8E1166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p>
        </w:tc>
        <w:tc>
          <w:tcPr>
            <w:tcW w:w="0" w:type="auto"/>
            <w:tcBorders>
              <w:top w:val="nil"/>
              <w:left w:val="nil"/>
              <w:bottom w:val="single" w:sz="4" w:space="0" w:color="auto"/>
              <w:right w:val="single" w:sz="4" w:space="0" w:color="auto"/>
            </w:tcBorders>
            <w:vAlign w:val="center"/>
            <w:hideMark/>
          </w:tcPr>
          <w:p w14:paraId="2E267FA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123110303</w:t>
            </w:r>
          </w:p>
        </w:tc>
        <w:tc>
          <w:tcPr>
            <w:tcW w:w="4209" w:type="dxa"/>
            <w:tcBorders>
              <w:top w:val="nil"/>
              <w:left w:val="nil"/>
              <w:bottom w:val="single" w:sz="4" w:space="0" w:color="auto"/>
              <w:right w:val="single" w:sz="4" w:space="0" w:color="auto"/>
            </w:tcBorders>
            <w:vAlign w:val="center"/>
            <w:hideMark/>
          </w:tcPr>
          <w:p w14:paraId="15FB457E"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Mobiliário em Geral</w:t>
            </w:r>
          </w:p>
        </w:tc>
        <w:tc>
          <w:tcPr>
            <w:tcW w:w="1934" w:type="dxa"/>
            <w:tcBorders>
              <w:top w:val="nil"/>
              <w:left w:val="nil"/>
              <w:bottom w:val="single" w:sz="4" w:space="0" w:color="auto"/>
              <w:right w:val="single" w:sz="4" w:space="0" w:color="auto"/>
            </w:tcBorders>
            <w:vAlign w:val="center"/>
            <w:hideMark/>
          </w:tcPr>
          <w:p w14:paraId="63A5ABDE"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16.996.916,86 </w:t>
            </w:r>
          </w:p>
        </w:tc>
        <w:tc>
          <w:tcPr>
            <w:tcW w:w="0" w:type="auto"/>
            <w:tcBorders>
              <w:top w:val="nil"/>
              <w:left w:val="nil"/>
              <w:bottom w:val="single" w:sz="4" w:space="0" w:color="auto"/>
              <w:right w:val="single" w:sz="4" w:space="0" w:color="auto"/>
            </w:tcBorders>
            <w:vAlign w:val="center"/>
            <w:hideMark/>
          </w:tcPr>
          <w:p w14:paraId="65BF4D38"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Patrimônio</w:t>
            </w:r>
          </w:p>
        </w:tc>
      </w:tr>
      <w:tr w:rsidR="00030041" w:rsidRPr="00634ADA" w14:paraId="702350A9"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066FA0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6</w:t>
            </w:r>
          </w:p>
        </w:tc>
        <w:tc>
          <w:tcPr>
            <w:tcW w:w="0" w:type="auto"/>
            <w:tcBorders>
              <w:top w:val="nil"/>
              <w:left w:val="nil"/>
              <w:bottom w:val="single" w:sz="4" w:space="0" w:color="auto"/>
              <w:right w:val="single" w:sz="4" w:space="0" w:color="auto"/>
            </w:tcBorders>
            <w:vAlign w:val="center"/>
            <w:hideMark/>
          </w:tcPr>
          <w:p w14:paraId="7993E1B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123110503</w:t>
            </w:r>
          </w:p>
        </w:tc>
        <w:tc>
          <w:tcPr>
            <w:tcW w:w="4209" w:type="dxa"/>
            <w:tcBorders>
              <w:top w:val="nil"/>
              <w:left w:val="nil"/>
              <w:bottom w:val="single" w:sz="4" w:space="0" w:color="auto"/>
              <w:right w:val="single" w:sz="4" w:space="0" w:color="auto"/>
            </w:tcBorders>
            <w:vAlign w:val="center"/>
            <w:hideMark/>
          </w:tcPr>
          <w:p w14:paraId="3946581C"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Veículos de Tração Mecânica</w:t>
            </w:r>
          </w:p>
        </w:tc>
        <w:tc>
          <w:tcPr>
            <w:tcW w:w="1934" w:type="dxa"/>
            <w:tcBorders>
              <w:top w:val="nil"/>
              <w:left w:val="nil"/>
              <w:bottom w:val="single" w:sz="4" w:space="0" w:color="auto"/>
              <w:right w:val="single" w:sz="4" w:space="0" w:color="auto"/>
            </w:tcBorders>
            <w:vAlign w:val="center"/>
            <w:hideMark/>
          </w:tcPr>
          <w:p w14:paraId="5AAEFA1E"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7.822.401,91 </w:t>
            </w:r>
          </w:p>
        </w:tc>
        <w:tc>
          <w:tcPr>
            <w:tcW w:w="0" w:type="auto"/>
            <w:tcBorders>
              <w:top w:val="nil"/>
              <w:left w:val="nil"/>
              <w:bottom w:val="single" w:sz="4" w:space="0" w:color="auto"/>
              <w:right w:val="single" w:sz="4" w:space="0" w:color="auto"/>
            </w:tcBorders>
            <w:vAlign w:val="center"/>
            <w:hideMark/>
          </w:tcPr>
          <w:p w14:paraId="05BE49D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Patrimônio</w:t>
            </w:r>
          </w:p>
        </w:tc>
      </w:tr>
      <w:tr w:rsidR="00030041" w:rsidRPr="00634ADA" w14:paraId="3030343F"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5DA4CE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7</w:t>
            </w:r>
          </w:p>
        </w:tc>
        <w:tc>
          <w:tcPr>
            <w:tcW w:w="0" w:type="auto"/>
            <w:tcBorders>
              <w:top w:val="nil"/>
              <w:left w:val="nil"/>
              <w:bottom w:val="single" w:sz="4" w:space="0" w:color="auto"/>
              <w:right w:val="single" w:sz="4" w:space="0" w:color="auto"/>
            </w:tcBorders>
            <w:vAlign w:val="center"/>
            <w:hideMark/>
          </w:tcPr>
          <w:p w14:paraId="72C4BD70"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123810100</w:t>
            </w:r>
          </w:p>
        </w:tc>
        <w:tc>
          <w:tcPr>
            <w:tcW w:w="4209" w:type="dxa"/>
            <w:tcBorders>
              <w:top w:val="nil"/>
              <w:left w:val="nil"/>
              <w:bottom w:val="single" w:sz="4" w:space="0" w:color="auto"/>
              <w:right w:val="single" w:sz="4" w:space="0" w:color="auto"/>
            </w:tcBorders>
            <w:vAlign w:val="center"/>
            <w:hideMark/>
          </w:tcPr>
          <w:p w14:paraId="00A46023"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 Depreciação Acumulada - Bens Móveis</w:t>
            </w:r>
          </w:p>
        </w:tc>
        <w:tc>
          <w:tcPr>
            <w:tcW w:w="1934" w:type="dxa"/>
            <w:tcBorders>
              <w:top w:val="nil"/>
              <w:left w:val="nil"/>
              <w:bottom w:val="single" w:sz="4" w:space="0" w:color="auto"/>
              <w:right w:val="single" w:sz="4" w:space="0" w:color="auto"/>
            </w:tcBorders>
            <w:vAlign w:val="center"/>
            <w:hideMark/>
          </w:tcPr>
          <w:p w14:paraId="3D08C84D"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-60.139.001,09 </w:t>
            </w:r>
          </w:p>
        </w:tc>
        <w:tc>
          <w:tcPr>
            <w:tcW w:w="0" w:type="auto"/>
            <w:tcBorders>
              <w:top w:val="nil"/>
              <w:left w:val="nil"/>
              <w:bottom w:val="single" w:sz="4" w:space="0" w:color="auto"/>
              <w:right w:val="single" w:sz="4" w:space="0" w:color="auto"/>
            </w:tcBorders>
            <w:vAlign w:val="center"/>
            <w:hideMark/>
          </w:tcPr>
          <w:p w14:paraId="14F9048C"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Patrimônio</w:t>
            </w:r>
          </w:p>
        </w:tc>
      </w:tr>
      <w:tr w:rsidR="00030041" w:rsidRPr="00634ADA" w14:paraId="31C01173"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4511001"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8</w:t>
            </w:r>
          </w:p>
        </w:tc>
        <w:tc>
          <w:tcPr>
            <w:tcW w:w="0" w:type="auto"/>
            <w:tcBorders>
              <w:top w:val="nil"/>
              <w:left w:val="nil"/>
              <w:bottom w:val="single" w:sz="4" w:space="0" w:color="auto"/>
              <w:right w:val="single" w:sz="4" w:space="0" w:color="auto"/>
            </w:tcBorders>
            <w:vAlign w:val="center"/>
            <w:hideMark/>
          </w:tcPr>
          <w:p w14:paraId="74DFDC43"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211110102</w:t>
            </w:r>
          </w:p>
        </w:tc>
        <w:tc>
          <w:tcPr>
            <w:tcW w:w="4209" w:type="dxa"/>
            <w:tcBorders>
              <w:top w:val="nil"/>
              <w:left w:val="nil"/>
              <w:bottom w:val="single" w:sz="4" w:space="0" w:color="auto"/>
              <w:right w:val="single" w:sz="4" w:space="0" w:color="auto"/>
            </w:tcBorders>
            <w:vAlign w:val="center"/>
            <w:hideMark/>
          </w:tcPr>
          <w:p w14:paraId="4B11F7BE"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Décimo Terceiro Salário a Pagar</w:t>
            </w:r>
          </w:p>
        </w:tc>
        <w:tc>
          <w:tcPr>
            <w:tcW w:w="1934" w:type="dxa"/>
            <w:tcBorders>
              <w:top w:val="nil"/>
              <w:left w:val="nil"/>
              <w:bottom w:val="single" w:sz="4" w:space="0" w:color="auto"/>
              <w:right w:val="single" w:sz="4" w:space="0" w:color="auto"/>
            </w:tcBorders>
            <w:vAlign w:val="center"/>
            <w:hideMark/>
          </w:tcPr>
          <w:p w14:paraId="0B5A022D"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7.287.333,87 </w:t>
            </w:r>
          </w:p>
        </w:tc>
        <w:tc>
          <w:tcPr>
            <w:tcW w:w="0" w:type="auto"/>
            <w:tcBorders>
              <w:top w:val="nil"/>
              <w:left w:val="nil"/>
              <w:bottom w:val="single" w:sz="4" w:space="0" w:color="auto"/>
              <w:right w:val="single" w:sz="4" w:space="0" w:color="auto"/>
            </w:tcBorders>
            <w:vAlign w:val="center"/>
            <w:hideMark/>
          </w:tcPr>
          <w:p w14:paraId="17123D2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26289F9B"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06A494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9</w:t>
            </w:r>
          </w:p>
        </w:tc>
        <w:tc>
          <w:tcPr>
            <w:tcW w:w="0" w:type="auto"/>
            <w:tcBorders>
              <w:top w:val="nil"/>
              <w:left w:val="nil"/>
              <w:bottom w:val="single" w:sz="4" w:space="0" w:color="auto"/>
              <w:right w:val="single" w:sz="4" w:space="0" w:color="auto"/>
            </w:tcBorders>
            <w:vAlign w:val="center"/>
            <w:hideMark/>
          </w:tcPr>
          <w:p w14:paraId="788A4D8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211110103</w:t>
            </w:r>
          </w:p>
        </w:tc>
        <w:tc>
          <w:tcPr>
            <w:tcW w:w="4209" w:type="dxa"/>
            <w:tcBorders>
              <w:top w:val="nil"/>
              <w:left w:val="nil"/>
              <w:bottom w:val="single" w:sz="4" w:space="0" w:color="auto"/>
              <w:right w:val="single" w:sz="4" w:space="0" w:color="auto"/>
            </w:tcBorders>
            <w:vAlign w:val="center"/>
            <w:hideMark/>
          </w:tcPr>
          <w:p w14:paraId="6CCE5132"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Férias a Pagar</w:t>
            </w:r>
          </w:p>
        </w:tc>
        <w:tc>
          <w:tcPr>
            <w:tcW w:w="1934" w:type="dxa"/>
            <w:tcBorders>
              <w:top w:val="nil"/>
              <w:left w:val="nil"/>
              <w:bottom w:val="single" w:sz="4" w:space="0" w:color="auto"/>
              <w:right w:val="single" w:sz="4" w:space="0" w:color="auto"/>
            </w:tcBorders>
            <w:vAlign w:val="center"/>
            <w:hideMark/>
          </w:tcPr>
          <w:p w14:paraId="420DDAE2"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11.463.663,41 </w:t>
            </w:r>
          </w:p>
        </w:tc>
        <w:tc>
          <w:tcPr>
            <w:tcW w:w="0" w:type="auto"/>
            <w:tcBorders>
              <w:top w:val="nil"/>
              <w:left w:val="nil"/>
              <w:bottom w:val="single" w:sz="4" w:space="0" w:color="auto"/>
              <w:right w:val="single" w:sz="4" w:space="0" w:color="auto"/>
            </w:tcBorders>
            <w:vAlign w:val="center"/>
            <w:hideMark/>
          </w:tcPr>
          <w:p w14:paraId="2892E35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484B4BF1"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7F7FC1B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10</w:t>
            </w:r>
          </w:p>
        </w:tc>
        <w:tc>
          <w:tcPr>
            <w:tcW w:w="0" w:type="auto"/>
            <w:tcBorders>
              <w:top w:val="nil"/>
              <w:left w:val="nil"/>
              <w:bottom w:val="single" w:sz="4" w:space="0" w:color="auto"/>
              <w:right w:val="single" w:sz="4" w:space="0" w:color="auto"/>
            </w:tcBorders>
            <w:vAlign w:val="center"/>
            <w:hideMark/>
          </w:tcPr>
          <w:p w14:paraId="6337837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211110300</w:t>
            </w:r>
          </w:p>
        </w:tc>
        <w:tc>
          <w:tcPr>
            <w:tcW w:w="4209" w:type="dxa"/>
            <w:tcBorders>
              <w:top w:val="nil"/>
              <w:left w:val="nil"/>
              <w:bottom w:val="single" w:sz="4" w:space="0" w:color="auto"/>
              <w:right w:val="single" w:sz="4" w:space="0" w:color="auto"/>
            </w:tcBorders>
            <w:vAlign w:val="center"/>
            <w:hideMark/>
          </w:tcPr>
          <w:p w14:paraId="63BB3AFA"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Precatórios de Pessoal</w:t>
            </w:r>
          </w:p>
        </w:tc>
        <w:tc>
          <w:tcPr>
            <w:tcW w:w="1934" w:type="dxa"/>
            <w:tcBorders>
              <w:top w:val="nil"/>
              <w:left w:val="nil"/>
              <w:bottom w:val="single" w:sz="4" w:space="0" w:color="auto"/>
              <w:right w:val="single" w:sz="4" w:space="0" w:color="auto"/>
            </w:tcBorders>
            <w:vAlign w:val="center"/>
            <w:hideMark/>
          </w:tcPr>
          <w:p w14:paraId="20D2855A"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w:t>
            </w:r>
          </w:p>
        </w:tc>
        <w:tc>
          <w:tcPr>
            <w:tcW w:w="0" w:type="auto"/>
            <w:tcBorders>
              <w:top w:val="nil"/>
              <w:left w:val="nil"/>
              <w:bottom w:val="single" w:sz="4" w:space="0" w:color="auto"/>
              <w:right w:val="single" w:sz="4" w:space="0" w:color="auto"/>
            </w:tcBorders>
            <w:vAlign w:val="center"/>
            <w:hideMark/>
          </w:tcPr>
          <w:p w14:paraId="4752A330" w14:textId="4E4DB8F9" w:rsidR="00634ADA" w:rsidRPr="00634ADA" w:rsidRDefault="006F51BE" w:rsidP="00634ADA">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sz w:val="20"/>
                <w:szCs w:val="20"/>
                <w:lang w:eastAsia="pt-BR"/>
              </w:rPr>
              <w:t>Precatórios/RPVs</w:t>
            </w:r>
          </w:p>
        </w:tc>
      </w:tr>
      <w:tr w:rsidR="00030041" w:rsidRPr="00634ADA" w14:paraId="695E051A"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0BAD3EC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11</w:t>
            </w:r>
          </w:p>
        </w:tc>
        <w:tc>
          <w:tcPr>
            <w:tcW w:w="0" w:type="auto"/>
            <w:tcBorders>
              <w:top w:val="nil"/>
              <w:left w:val="nil"/>
              <w:bottom w:val="single" w:sz="4" w:space="0" w:color="auto"/>
              <w:right w:val="single" w:sz="4" w:space="0" w:color="auto"/>
            </w:tcBorders>
            <w:vAlign w:val="center"/>
            <w:hideMark/>
          </w:tcPr>
          <w:p w14:paraId="104E5D8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211210100</w:t>
            </w:r>
          </w:p>
        </w:tc>
        <w:tc>
          <w:tcPr>
            <w:tcW w:w="4209" w:type="dxa"/>
            <w:tcBorders>
              <w:top w:val="nil"/>
              <w:left w:val="nil"/>
              <w:bottom w:val="single" w:sz="4" w:space="0" w:color="auto"/>
              <w:right w:val="single" w:sz="4" w:space="0" w:color="auto"/>
            </w:tcBorders>
            <w:vAlign w:val="center"/>
            <w:hideMark/>
          </w:tcPr>
          <w:p w14:paraId="29666925"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Benefícios Previdenciários</w:t>
            </w:r>
          </w:p>
        </w:tc>
        <w:tc>
          <w:tcPr>
            <w:tcW w:w="1934" w:type="dxa"/>
            <w:tcBorders>
              <w:top w:val="nil"/>
              <w:left w:val="nil"/>
              <w:bottom w:val="single" w:sz="4" w:space="0" w:color="auto"/>
              <w:right w:val="single" w:sz="4" w:space="0" w:color="auto"/>
            </w:tcBorders>
            <w:vAlign w:val="center"/>
            <w:hideMark/>
          </w:tcPr>
          <w:p w14:paraId="58DC8243"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w:t>
            </w:r>
          </w:p>
        </w:tc>
        <w:tc>
          <w:tcPr>
            <w:tcW w:w="0" w:type="auto"/>
            <w:tcBorders>
              <w:top w:val="nil"/>
              <w:left w:val="nil"/>
              <w:bottom w:val="single" w:sz="4" w:space="0" w:color="auto"/>
              <w:right w:val="single" w:sz="4" w:space="0" w:color="auto"/>
            </w:tcBorders>
            <w:vAlign w:val="center"/>
            <w:hideMark/>
          </w:tcPr>
          <w:p w14:paraId="1E7E2BAB" w14:textId="101CD094" w:rsidR="00634ADA" w:rsidRPr="00634ADA" w:rsidRDefault="006F51BE"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r w:rsidR="00634ADA" w:rsidRPr="00634ADA">
              <w:rPr>
                <w:rFonts w:ascii="Times New Roman" w:eastAsia="Times New Roman" w:hAnsi="Times New Roman" w:cs="Times New Roman"/>
                <w:color w:val="000000"/>
                <w:sz w:val="20"/>
                <w:szCs w:val="20"/>
                <w:lang w:eastAsia="pt-BR"/>
              </w:rPr>
              <w:t> </w:t>
            </w:r>
          </w:p>
        </w:tc>
      </w:tr>
      <w:tr w:rsidR="00030041" w:rsidRPr="00634ADA" w14:paraId="019E6F58"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6F6A94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12</w:t>
            </w:r>
          </w:p>
        </w:tc>
        <w:tc>
          <w:tcPr>
            <w:tcW w:w="0" w:type="auto"/>
            <w:tcBorders>
              <w:top w:val="nil"/>
              <w:left w:val="nil"/>
              <w:bottom w:val="single" w:sz="4" w:space="0" w:color="auto"/>
              <w:right w:val="single" w:sz="4" w:space="0" w:color="auto"/>
            </w:tcBorders>
            <w:vAlign w:val="center"/>
            <w:hideMark/>
          </w:tcPr>
          <w:p w14:paraId="4FCA26F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211210300</w:t>
            </w:r>
          </w:p>
        </w:tc>
        <w:tc>
          <w:tcPr>
            <w:tcW w:w="4209" w:type="dxa"/>
            <w:tcBorders>
              <w:top w:val="nil"/>
              <w:left w:val="nil"/>
              <w:bottom w:val="single" w:sz="4" w:space="0" w:color="auto"/>
              <w:right w:val="single" w:sz="4" w:space="0" w:color="auto"/>
            </w:tcBorders>
            <w:vAlign w:val="center"/>
            <w:hideMark/>
          </w:tcPr>
          <w:p w14:paraId="1946E2AD"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Precatórios de Benefícios Previdenciários</w:t>
            </w:r>
          </w:p>
        </w:tc>
        <w:tc>
          <w:tcPr>
            <w:tcW w:w="1934" w:type="dxa"/>
            <w:tcBorders>
              <w:top w:val="nil"/>
              <w:left w:val="nil"/>
              <w:bottom w:val="single" w:sz="4" w:space="0" w:color="auto"/>
              <w:right w:val="single" w:sz="4" w:space="0" w:color="auto"/>
            </w:tcBorders>
            <w:vAlign w:val="center"/>
            <w:hideMark/>
          </w:tcPr>
          <w:p w14:paraId="4F72B8C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56.435,21 </w:t>
            </w:r>
          </w:p>
        </w:tc>
        <w:tc>
          <w:tcPr>
            <w:tcW w:w="0" w:type="auto"/>
            <w:tcBorders>
              <w:top w:val="nil"/>
              <w:left w:val="nil"/>
              <w:bottom w:val="single" w:sz="4" w:space="0" w:color="auto"/>
              <w:right w:val="single" w:sz="4" w:space="0" w:color="auto"/>
            </w:tcBorders>
            <w:vAlign w:val="center"/>
            <w:hideMark/>
          </w:tcPr>
          <w:p w14:paraId="7F26768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7F42EFD6"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62222F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13</w:t>
            </w:r>
          </w:p>
        </w:tc>
        <w:tc>
          <w:tcPr>
            <w:tcW w:w="0" w:type="auto"/>
            <w:tcBorders>
              <w:top w:val="nil"/>
              <w:left w:val="nil"/>
              <w:bottom w:val="single" w:sz="4" w:space="0" w:color="auto"/>
              <w:right w:val="single" w:sz="4" w:space="0" w:color="auto"/>
            </w:tcBorders>
            <w:vAlign w:val="center"/>
            <w:hideMark/>
          </w:tcPr>
          <w:p w14:paraId="56A426B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211310100</w:t>
            </w:r>
          </w:p>
        </w:tc>
        <w:tc>
          <w:tcPr>
            <w:tcW w:w="4209" w:type="dxa"/>
            <w:tcBorders>
              <w:top w:val="nil"/>
              <w:left w:val="nil"/>
              <w:bottom w:val="single" w:sz="4" w:space="0" w:color="auto"/>
              <w:right w:val="single" w:sz="4" w:space="0" w:color="auto"/>
            </w:tcBorders>
            <w:vAlign w:val="center"/>
            <w:hideMark/>
          </w:tcPr>
          <w:p w14:paraId="726DF645"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Benefícios Assistenciais a Pagar</w:t>
            </w:r>
          </w:p>
        </w:tc>
        <w:tc>
          <w:tcPr>
            <w:tcW w:w="1934" w:type="dxa"/>
            <w:tcBorders>
              <w:top w:val="nil"/>
              <w:left w:val="nil"/>
              <w:bottom w:val="single" w:sz="4" w:space="0" w:color="auto"/>
              <w:right w:val="single" w:sz="4" w:space="0" w:color="auto"/>
            </w:tcBorders>
            <w:vAlign w:val="center"/>
            <w:hideMark/>
          </w:tcPr>
          <w:p w14:paraId="7F8DB351"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796,02 </w:t>
            </w:r>
          </w:p>
        </w:tc>
        <w:tc>
          <w:tcPr>
            <w:tcW w:w="0" w:type="auto"/>
            <w:tcBorders>
              <w:top w:val="nil"/>
              <w:left w:val="nil"/>
              <w:bottom w:val="single" w:sz="4" w:space="0" w:color="auto"/>
              <w:right w:val="single" w:sz="4" w:space="0" w:color="auto"/>
            </w:tcBorders>
            <w:vAlign w:val="center"/>
            <w:hideMark/>
          </w:tcPr>
          <w:p w14:paraId="7A252D2C"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32D52D6E"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5F7D283"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14</w:t>
            </w:r>
          </w:p>
        </w:tc>
        <w:tc>
          <w:tcPr>
            <w:tcW w:w="0" w:type="auto"/>
            <w:tcBorders>
              <w:top w:val="nil"/>
              <w:left w:val="nil"/>
              <w:bottom w:val="single" w:sz="4" w:space="0" w:color="auto"/>
              <w:right w:val="single" w:sz="4" w:space="0" w:color="auto"/>
            </w:tcBorders>
            <w:vAlign w:val="center"/>
            <w:hideMark/>
          </w:tcPr>
          <w:p w14:paraId="4F53C97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211410302</w:t>
            </w:r>
          </w:p>
        </w:tc>
        <w:tc>
          <w:tcPr>
            <w:tcW w:w="4209" w:type="dxa"/>
            <w:tcBorders>
              <w:top w:val="nil"/>
              <w:left w:val="nil"/>
              <w:bottom w:val="single" w:sz="4" w:space="0" w:color="auto"/>
              <w:right w:val="single" w:sz="4" w:space="0" w:color="auto"/>
            </w:tcBorders>
            <w:vAlign w:val="center"/>
            <w:hideMark/>
          </w:tcPr>
          <w:p w14:paraId="5C6517A6" w14:textId="269B4E53"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xml:space="preserve">'= Contribuição a Entidades de </w:t>
            </w:r>
            <w:proofErr w:type="spellStart"/>
            <w:r w:rsidRPr="00634ADA">
              <w:rPr>
                <w:rFonts w:ascii="Times New Roman" w:eastAsia="Times New Roman" w:hAnsi="Times New Roman" w:cs="Times New Roman"/>
                <w:color w:val="000000"/>
                <w:sz w:val="20"/>
                <w:szCs w:val="20"/>
                <w:lang w:eastAsia="pt-BR"/>
              </w:rPr>
              <w:t>Previd.compl</w:t>
            </w:r>
            <w:proofErr w:type="spellEnd"/>
            <w:r w:rsidR="00030041">
              <w:rPr>
                <w:rFonts w:ascii="Times New Roman" w:eastAsia="Times New Roman" w:hAnsi="Times New Roman" w:cs="Times New Roman"/>
                <w:color w:val="000000"/>
                <w:sz w:val="20"/>
                <w:szCs w:val="20"/>
                <w:lang w:eastAsia="pt-BR"/>
              </w:rPr>
              <w:t>.</w:t>
            </w:r>
          </w:p>
        </w:tc>
        <w:tc>
          <w:tcPr>
            <w:tcW w:w="1934" w:type="dxa"/>
            <w:tcBorders>
              <w:top w:val="nil"/>
              <w:left w:val="nil"/>
              <w:bottom w:val="single" w:sz="4" w:space="0" w:color="auto"/>
              <w:right w:val="single" w:sz="4" w:space="0" w:color="auto"/>
            </w:tcBorders>
            <w:vAlign w:val="center"/>
            <w:hideMark/>
          </w:tcPr>
          <w:p w14:paraId="2D491C57"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21.950,56 </w:t>
            </w:r>
          </w:p>
        </w:tc>
        <w:tc>
          <w:tcPr>
            <w:tcW w:w="0" w:type="auto"/>
            <w:tcBorders>
              <w:top w:val="nil"/>
              <w:left w:val="nil"/>
              <w:bottom w:val="single" w:sz="4" w:space="0" w:color="auto"/>
              <w:right w:val="single" w:sz="4" w:space="0" w:color="auto"/>
            </w:tcBorders>
            <w:vAlign w:val="center"/>
            <w:hideMark/>
          </w:tcPr>
          <w:p w14:paraId="68D0F1B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0A8B754A"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73CA0C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15</w:t>
            </w:r>
          </w:p>
        </w:tc>
        <w:tc>
          <w:tcPr>
            <w:tcW w:w="0" w:type="auto"/>
            <w:tcBorders>
              <w:top w:val="nil"/>
              <w:left w:val="nil"/>
              <w:bottom w:val="single" w:sz="4" w:space="0" w:color="auto"/>
              <w:right w:val="single" w:sz="4" w:space="0" w:color="auto"/>
            </w:tcBorders>
            <w:vAlign w:val="center"/>
            <w:hideMark/>
          </w:tcPr>
          <w:p w14:paraId="2BF1385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211421300</w:t>
            </w:r>
          </w:p>
        </w:tc>
        <w:tc>
          <w:tcPr>
            <w:tcW w:w="4209" w:type="dxa"/>
            <w:tcBorders>
              <w:top w:val="nil"/>
              <w:left w:val="nil"/>
              <w:bottom w:val="single" w:sz="4" w:space="0" w:color="auto"/>
              <w:right w:val="single" w:sz="4" w:space="0" w:color="auto"/>
            </w:tcBorders>
            <w:vAlign w:val="center"/>
            <w:hideMark/>
          </w:tcPr>
          <w:p w14:paraId="600ACB46" w14:textId="440735A9"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PSSS-</w:t>
            </w:r>
            <w:proofErr w:type="spellStart"/>
            <w:r w:rsidRPr="00634ADA">
              <w:rPr>
                <w:rFonts w:ascii="Times New Roman" w:eastAsia="Times New Roman" w:hAnsi="Times New Roman" w:cs="Times New Roman"/>
                <w:color w:val="000000"/>
                <w:sz w:val="20"/>
                <w:szCs w:val="20"/>
                <w:lang w:eastAsia="pt-BR"/>
              </w:rPr>
              <w:t>contrib</w:t>
            </w:r>
            <w:proofErr w:type="spellEnd"/>
            <w:r w:rsidRPr="00634ADA">
              <w:rPr>
                <w:rFonts w:ascii="Times New Roman" w:eastAsia="Times New Roman" w:hAnsi="Times New Roman" w:cs="Times New Roman"/>
                <w:color w:val="000000"/>
                <w:sz w:val="20"/>
                <w:szCs w:val="20"/>
                <w:lang w:eastAsia="pt-BR"/>
              </w:rPr>
              <w:t>. s/ vencimentos e Vantagens</w:t>
            </w:r>
          </w:p>
        </w:tc>
        <w:tc>
          <w:tcPr>
            <w:tcW w:w="1934" w:type="dxa"/>
            <w:tcBorders>
              <w:top w:val="nil"/>
              <w:left w:val="nil"/>
              <w:bottom w:val="single" w:sz="4" w:space="0" w:color="auto"/>
              <w:right w:val="single" w:sz="4" w:space="0" w:color="auto"/>
            </w:tcBorders>
            <w:vAlign w:val="center"/>
            <w:hideMark/>
          </w:tcPr>
          <w:p w14:paraId="192537B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3.003.216,15 </w:t>
            </w:r>
          </w:p>
        </w:tc>
        <w:tc>
          <w:tcPr>
            <w:tcW w:w="0" w:type="auto"/>
            <w:tcBorders>
              <w:top w:val="nil"/>
              <w:left w:val="nil"/>
              <w:bottom w:val="single" w:sz="4" w:space="0" w:color="auto"/>
              <w:right w:val="single" w:sz="4" w:space="0" w:color="auto"/>
            </w:tcBorders>
            <w:vAlign w:val="center"/>
            <w:hideMark/>
          </w:tcPr>
          <w:p w14:paraId="43D62D0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176FCFF3"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231F4D6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16</w:t>
            </w:r>
          </w:p>
        </w:tc>
        <w:tc>
          <w:tcPr>
            <w:tcW w:w="0" w:type="auto"/>
            <w:tcBorders>
              <w:top w:val="nil"/>
              <w:left w:val="nil"/>
              <w:bottom w:val="single" w:sz="4" w:space="0" w:color="auto"/>
              <w:right w:val="single" w:sz="4" w:space="0" w:color="auto"/>
            </w:tcBorders>
            <w:vAlign w:val="center"/>
            <w:hideMark/>
          </w:tcPr>
          <w:p w14:paraId="02E8769B"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211421400</w:t>
            </w:r>
          </w:p>
        </w:tc>
        <w:tc>
          <w:tcPr>
            <w:tcW w:w="4209" w:type="dxa"/>
            <w:tcBorders>
              <w:top w:val="nil"/>
              <w:left w:val="nil"/>
              <w:bottom w:val="single" w:sz="4" w:space="0" w:color="auto"/>
              <w:right w:val="single" w:sz="4" w:space="0" w:color="auto"/>
            </w:tcBorders>
            <w:vAlign w:val="center"/>
            <w:hideMark/>
          </w:tcPr>
          <w:p w14:paraId="2B1ACF28"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Encargos Patronais - PSSS de Precatórios</w:t>
            </w:r>
          </w:p>
        </w:tc>
        <w:tc>
          <w:tcPr>
            <w:tcW w:w="1934" w:type="dxa"/>
            <w:tcBorders>
              <w:top w:val="nil"/>
              <w:left w:val="nil"/>
              <w:bottom w:val="single" w:sz="4" w:space="0" w:color="auto"/>
              <w:right w:val="single" w:sz="4" w:space="0" w:color="auto"/>
            </w:tcBorders>
            <w:vAlign w:val="center"/>
            <w:hideMark/>
          </w:tcPr>
          <w:p w14:paraId="3E8A09E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w:t>
            </w:r>
          </w:p>
        </w:tc>
        <w:tc>
          <w:tcPr>
            <w:tcW w:w="0" w:type="auto"/>
            <w:tcBorders>
              <w:top w:val="nil"/>
              <w:left w:val="nil"/>
              <w:bottom w:val="single" w:sz="4" w:space="0" w:color="auto"/>
              <w:right w:val="single" w:sz="4" w:space="0" w:color="auto"/>
            </w:tcBorders>
            <w:vAlign w:val="center"/>
            <w:hideMark/>
          </w:tcPr>
          <w:p w14:paraId="50A9A6C6" w14:textId="26918C1E" w:rsidR="00634ADA" w:rsidRPr="00634ADA" w:rsidRDefault="006F51BE" w:rsidP="00634ADA">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sz w:val="20"/>
                <w:szCs w:val="20"/>
                <w:lang w:eastAsia="pt-BR"/>
              </w:rPr>
              <w:t>Precatórios/RPVs</w:t>
            </w:r>
          </w:p>
        </w:tc>
      </w:tr>
      <w:tr w:rsidR="00030041" w:rsidRPr="00634ADA" w14:paraId="4E057E9B"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78964D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17</w:t>
            </w:r>
          </w:p>
        </w:tc>
        <w:tc>
          <w:tcPr>
            <w:tcW w:w="0" w:type="auto"/>
            <w:tcBorders>
              <w:top w:val="nil"/>
              <w:left w:val="nil"/>
              <w:bottom w:val="single" w:sz="4" w:space="0" w:color="auto"/>
              <w:right w:val="single" w:sz="4" w:space="0" w:color="auto"/>
            </w:tcBorders>
            <w:vAlign w:val="center"/>
            <w:hideMark/>
          </w:tcPr>
          <w:p w14:paraId="2CEE2B21"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213110400</w:t>
            </w:r>
          </w:p>
        </w:tc>
        <w:tc>
          <w:tcPr>
            <w:tcW w:w="4209" w:type="dxa"/>
            <w:tcBorders>
              <w:top w:val="nil"/>
              <w:left w:val="nil"/>
              <w:bottom w:val="single" w:sz="4" w:space="0" w:color="auto"/>
              <w:right w:val="single" w:sz="4" w:space="0" w:color="auto"/>
            </w:tcBorders>
            <w:vAlign w:val="center"/>
            <w:hideMark/>
          </w:tcPr>
          <w:p w14:paraId="47F94C1B"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Contas a Pagar Credores Nacionais</w:t>
            </w:r>
          </w:p>
        </w:tc>
        <w:tc>
          <w:tcPr>
            <w:tcW w:w="1934" w:type="dxa"/>
            <w:tcBorders>
              <w:top w:val="nil"/>
              <w:left w:val="nil"/>
              <w:bottom w:val="single" w:sz="4" w:space="0" w:color="auto"/>
              <w:right w:val="single" w:sz="4" w:space="0" w:color="auto"/>
            </w:tcBorders>
            <w:vAlign w:val="center"/>
            <w:hideMark/>
          </w:tcPr>
          <w:p w14:paraId="41E98DB6"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120.099,46 </w:t>
            </w:r>
          </w:p>
        </w:tc>
        <w:tc>
          <w:tcPr>
            <w:tcW w:w="0" w:type="auto"/>
            <w:tcBorders>
              <w:top w:val="nil"/>
              <w:left w:val="nil"/>
              <w:bottom w:val="single" w:sz="4" w:space="0" w:color="auto"/>
              <w:right w:val="single" w:sz="4" w:space="0" w:color="auto"/>
            </w:tcBorders>
            <w:vAlign w:val="center"/>
            <w:hideMark/>
          </w:tcPr>
          <w:p w14:paraId="37EE5A28"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Contratações</w:t>
            </w:r>
          </w:p>
        </w:tc>
      </w:tr>
      <w:tr w:rsidR="00030041" w:rsidRPr="00634ADA" w14:paraId="666BE345"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3D6E47D"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18</w:t>
            </w:r>
          </w:p>
        </w:tc>
        <w:tc>
          <w:tcPr>
            <w:tcW w:w="0" w:type="auto"/>
            <w:tcBorders>
              <w:top w:val="nil"/>
              <w:left w:val="nil"/>
              <w:bottom w:val="single" w:sz="4" w:space="0" w:color="auto"/>
              <w:right w:val="single" w:sz="4" w:space="0" w:color="auto"/>
            </w:tcBorders>
            <w:vAlign w:val="center"/>
            <w:hideMark/>
          </w:tcPr>
          <w:p w14:paraId="260863A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218810101</w:t>
            </w:r>
          </w:p>
        </w:tc>
        <w:tc>
          <w:tcPr>
            <w:tcW w:w="4209" w:type="dxa"/>
            <w:tcBorders>
              <w:top w:val="nil"/>
              <w:left w:val="nil"/>
              <w:bottom w:val="single" w:sz="4" w:space="0" w:color="auto"/>
              <w:right w:val="single" w:sz="4" w:space="0" w:color="auto"/>
            </w:tcBorders>
            <w:vAlign w:val="center"/>
            <w:hideMark/>
          </w:tcPr>
          <w:p w14:paraId="2AE2F79F"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PSSS - Vencimentos e Vantagens</w:t>
            </w:r>
          </w:p>
        </w:tc>
        <w:tc>
          <w:tcPr>
            <w:tcW w:w="1934" w:type="dxa"/>
            <w:tcBorders>
              <w:top w:val="nil"/>
              <w:left w:val="nil"/>
              <w:bottom w:val="single" w:sz="4" w:space="0" w:color="auto"/>
              <w:right w:val="single" w:sz="4" w:space="0" w:color="auto"/>
            </w:tcBorders>
            <w:vAlign w:val="center"/>
            <w:hideMark/>
          </w:tcPr>
          <w:p w14:paraId="60426A53"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6.854,26 </w:t>
            </w:r>
          </w:p>
        </w:tc>
        <w:tc>
          <w:tcPr>
            <w:tcW w:w="0" w:type="auto"/>
            <w:tcBorders>
              <w:top w:val="nil"/>
              <w:left w:val="nil"/>
              <w:bottom w:val="single" w:sz="4" w:space="0" w:color="auto"/>
              <w:right w:val="single" w:sz="4" w:space="0" w:color="auto"/>
            </w:tcBorders>
            <w:vAlign w:val="center"/>
            <w:hideMark/>
          </w:tcPr>
          <w:p w14:paraId="6EF5CAA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33F322A1"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3FACB4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19</w:t>
            </w:r>
          </w:p>
        </w:tc>
        <w:tc>
          <w:tcPr>
            <w:tcW w:w="0" w:type="auto"/>
            <w:tcBorders>
              <w:top w:val="nil"/>
              <w:left w:val="nil"/>
              <w:bottom w:val="single" w:sz="4" w:space="0" w:color="auto"/>
              <w:right w:val="single" w:sz="4" w:space="0" w:color="auto"/>
            </w:tcBorders>
            <w:vAlign w:val="center"/>
            <w:hideMark/>
          </w:tcPr>
          <w:p w14:paraId="575503E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218810102</w:t>
            </w:r>
          </w:p>
        </w:tc>
        <w:tc>
          <w:tcPr>
            <w:tcW w:w="4209" w:type="dxa"/>
            <w:tcBorders>
              <w:top w:val="nil"/>
              <w:left w:val="nil"/>
              <w:bottom w:val="single" w:sz="4" w:space="0" w:color="auto"/>
              <w:right w:val="single" w:sz="4" w:space="0" w:color="auto"/>
            </w:tcBorders>
            <w:vAlign w:val="center"/>
            <w:hideMark/>
          </w:tcPr>
          <w:p w14:paraId="7383E66C"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Retenção Previdenciária - FRGPS</w:t>
            </w:r>
          </w:p>
        </w:tc>
        <w:tc>
          <w:tcPr>
            <w:tcW w:w="1934" w:type="dxa"/>
            <w:tcBorders>
              <w:top w:val="nil"/>
              <w:left w:val="nil"/>
              <w:bottom w:val="single" w:sz="4" w:space="0" w:color="auto"/>
              <w:right w:val="single" w:sz="4" w:space="0" w:color="auto"/>
            </w:tcBorders>
            <w:vAlign w:val="center"/>
            <w:hideMark/>
          </w:tcPr>
          <w:p w14:paraId="262BA2D7"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274.756,79 </w:t>
            </w:r>
          </w:p>
        </w:tc>
        <w:tc>
          <w:tcPr>
            <w:tcW w:w="0" w:type="auto"/>
            <w:tcBorders>
              <w:top w:val="nil"/>
              <w:left w:val="nil"/>
              <w:bottom w:val="single" w:sz="4" w:space="0" w:color="auto"/>
              <w:right w:val="single" w:sz="4" w:space="0" w:color="auto"/>
            </w:tcBorders>
            <w:vAlign w:val="center"/>
            <w:hideMark/>
          </w:tcPr>
          <w:p w14:paraId="7312D14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0B4D4386"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18436F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20</w:t>
            </w:r>
          </w:p>
        </w:tc>
        <w:tc>
          <w:tcPr>
            <w:tcW w:w="0" w:type="auto"/>
            <w:tcBorders>
              <w:top w:val="nil"/>
              <w:left w:val="nil"/>
              <w:bottom w:val="single" w:sz="4" w:space="0" w:color="auto"/>
              <w:right w:val="single" w:sz="4" w:space="0" w:color="auto"/>
            </w:tcBorders>
            <w:vAlign w:val="center"/>
            <w:hideMark/>
          </w:tcPr>
          <w:p w14:paraId="183D1EE3"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218810104</w:t>
            </w:r>
          </w:p>
        </w:tc>
        <w:tc>
          <w:tcPr>
            <w:tcW w:w="4209" w:type="dxa"/>
            <w:tcBorders>
              <w:top w:val="nil"/>
              <w:left w:val="nil"/>
              <w:bottom w:val="single" w:sz="4" w:space="0" w:color="auto"/>
              <w:right w:val="single" w:sz="4" w:space="0" w:color="auto"/>
            </w:tcBorders>
            <w:vAlign w:val="center"/>
            <w:hideMark/>
          </w:tcPr>
          <w:p w14:paraId="7BD6A1AF"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IRRF devido Ao Tesouro Nacional</w:t>
            </w:r>
          </w:p>
        </w:tc>
        <w:tc>
          <w:tcPr>
            <w:tcW w:w="1934" w:type="dxa"/>
            <w:tcBorders>
              <w:top w:val="nil"/>
              <w:left w:val="nil"/>
              <w:bottom w:val="single" w:sz="4" w:space="0" w:color="auto"/>
              <w:right w:val="single" w:sz="4" w:space="0" w:color="auto"/>
            </w:tcBorders>
            <w:vAlign w:val="center"/>
            <w:hideMark/>
          </w:tcPr>
          <w:p w14:paraId="7405B1C1"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232.928,63 </w:t>
            </w:r>
          </w:p>
        </w:tc>
        <w:tc>
          <w:tcPr>
            <w:tcW w:w="0" w:type="auto"/>
            <w:tcBorders>
              <w:top w:val="nil"/>
              <w:left w:val="nil"/>
              <w:bottom w:val="single" w:sz="4" w:space="0" w:color="auto"/>
              <w:right w:val="single" w:sz="4" w:space="0" w:color="auto"/>
            </w:tcBorders>
            <w:vAlign w:val="center"/>
            <w:hideMark/>
          </w:tcPr>
          <w:p w14:paraId="19812AA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76CE3B6C"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2E2427C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w:t>
            </w:r>
          </w:p>
        </w:tc>
        <w:tc>
          <w:tcPr>
            <w:tcW w:w="0" w:type="auto"/>
            <w:tcBorders>
              <w:top w:val="nil"/>
              <w:left w:val="nil"/>
              <w:bottom w:val="single" w:sz="4" w:space="0" w:color="auto"/>
              <w:right w:val="single" w:sz="4" w:space="0" w:color="auto"/>
            </w:tcBorders>
            <w:vAlign w:val="center"/>
            <w:hideMark/>
          </w:tcPr>
          <w:p w14:paraId="3C16A45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218810127</w:t>
            </w:r>
          </w:p>
        </w:tc>
        <w:tc>
          <w:tcPr>
            <w:tcW w:w="4209" w:type="dxa"/>
            <w:tcBorders>
              <w:top w:val="nil"/>
              <w:left w:val="nil"/>
              <w:bottom w:val="single" w:sz="4" w:space="0" w:color="auto"/>
              <w:right w:val="single" w:sz="4" w:space="0" w:color="auto"/>
            </w:tcBorders>
            <w:vAlign w:val="center"/>
            <w:hideMark/>
          </w:tcPr>
          <w:p w14:paraId="4BAB1CB5" w14:textId="1295C953"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Previdência Complementar Serv</w:t>
            </w:r>
            <w:r w:rsidR="00030041">
              <w:rPr>
                <w:rFonts w:ascii="Times New Roman" w:eastAsia="Times New Roman" w:hAnsi="Times New Roman" w:cs="Times New Roman"/>
                <w:color w:val="000000"/>
                <w:sz w:val="20"/>
                <w:szCs w:val="20"/>
                <w:lang w:eastAsia="pt-BR"/>
              </w:rPr>
              <w:t>.</w:t>
            </w:r>
            <w:r w:rsidRPr="00634ADA">
              <w:rPr>
                <w:rFonts w:ascii="Times New Roman" w:eastAsia="Times New Roman" w:hAnsi="Times New Roman" w:cs="Times New Roman"/>
                <w:color w:val="000000"/>
                <w:sz w:val="20"/>
                <w:szCs w:val="20"/>
                <w:lang w:eastAsia="pt-BR"/>
              </w:rPr>
              <w:t xml:space="preserve"> Pub Federal</w:t>
            </w:r>
          </w:p>
        </w:tc>
        <w:tc>
          <w:tcPr>
            <w:tcW w:w="1934" w:type="dxa"/>
            <w:tcBorders>
              <w:top w:val="nil"/>
              <w:left w:val="nil"/>
              <w:bottom w:val="single" w:sz="4" w:space="0" w:color="auto"/>
              <w:right w:val="single" w:sz="4" w:space="0" w:color="auto"/>
            </w:tcBorders>
            <w:vAlign w:val="center"/>
            <w:hideMark/>
          </w:tcPr>
          <w:p w14:paraId="7E791EB2"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21.053,71 </w:t>
            </w:r>
          </w:p>
        </w:tc>
        <w:tc>
          <w:tcPr>
            <w:tcW w:w="0" w:type="auto"/>
            <w:tcBorders>
              <w:top w:val="nil"/>
              <w:left w:val="nil"/>
              <w:bottom w:val="single" w:sz="4" w:space="0" w:color="auto"/>
              <w:right w:val="single" w:sz="4" w:space="0" w:color="auto"/>
            </w:tcBorders>
            <w:vAlign w:val="center"/>
            <w:hideMark/>
          </w:tcPr>
          <w:p w14:paraId="079B95CB"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6BD442AA"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60CAA4A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22</w:t>
            </w:r>
          </w:p>
        </w:tc>
        <w:tc>
          <w:tcPr>
            <w:tcW w:w="0" w:type="auto"/>
            <w:tcBorders>
              <w:top w:val="nil"/>
              <w:left w:val="nil"/>
              <w:bottom w:val="single" w:sz="4" w:space="0" w:color="auto"/>
              <w:right w:val="single" w:sz="4" w:space="0" w:color="auto"/>
            </w:tcBorders>
            <w:vAlign w:val="center"/>
            <w:hideMark/>
          </w:tcPr>
          <w:p w14:paraId="591B95C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218911300</w:t>
            </w:r>
          </w:p>
        </w:tc>
        <w:tc>
          <w:tcPr>
            <w:tcW w:w="4209" w:type="dxa"/>
            <w:tcBorders>
              <w:top w:val="nil"/>
              <w:left w:val="nil"/>
              <w:bottom w:val="single" w:sz="4" w:space="0" w:color="auto"/>
              <w:right w:val="single" w:sz="4" w:space="0" w:color="auto"/>
            </w:tcBorders>
            <w:vAlign w:val="center"/>
            <w:hideMark/>
          </w:tcPr>
          <w:p w14:paraId="124DB77B"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Precatórios de Terceiros</w:t>
            </w:r>
          </w:p>
        </w:tc>
        <w:tc>
          <w:tcPr>
            <w:tcW w:w="1934" w:type="dxa"/>
            <w:tcBorders>
              <w:top w:val="nil"/>
              <w:left w:val="nil"/>
              <w:bottom w:val="single" w:sz="4" w:space="0" w:color="auto"/>
              <w:right w:val="single" w:sz="4" w:space="0" w:color="auto"/>
            </w:tcBorders>
            <w:vAlign w:val="center"/>
            <w:hideMark/>
          </w:tcPr>
          <w:p w14:paraId="4A84A866"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1.442,45 </w:t>
            </w:r>
          </w:p>
        </w:tc>
        <w:tc>
          <w:tcPr>
            <w:tcW w:w="0" w:type="auto"/>
            <w:tcBorders>
              <w:top w:val="nil"/>
              <w:left w:val="nil"/>
              <w:bottom w:val="single" w:sz="4" w:space="0" w:color="auto"/>
              <w:right w:val="single" w:sz="4" w:space="0" w:color="auto"/>
            </w:tcBorders>
            <w:vAlign w:val="center"/>
            <w:hideMark/>
          </w:tcPr>
          <w:p w14:paraId="5E3D2C2A" w14:textId="0F4E31F6" w:rsidR="00634ADA" w:rsidRPr="00634ADA" w:rsidRDefault="006F51BE" w:rsidP="00634ADA">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sz w:val="20"/>
                <w:szCs w:val="20"/>
                <w:lang w:eastAsia="pt-BR"/>
              </w:rPr>
              <w:t>Precatórios/RPVs</w:t>
            </w:r>
          </w:p>
        </w:tc>
      </w:tr>
      <w:tr w:rsidR="00030041" w:rsidRPr="00634ADA" w14:paraId="1DFD87A0"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90E53D1"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23</w:t>
            </w:r>
          </w:p>
        </w:tc>
        <w:tc>
          <w:tcPr>
            <w:tcW w:w="0" w:type="auto"/>
            <w:tcBorders>
              <w:top w:val="nil"/>
              <w:left w:val="nil"/>
              <w:bottom w:val="single" w:sz="4" w:space="0" w:color="auto"/>
              <w:right w:val="single" w:sz="4" w:space="0" w:color="auto"/>
            </w:tcBorders>
            <w:vAlign w:val="center"/>
            <w:hideMark/>
          </w:tcPr>
          <w:p w14:paraId="45B24DAB"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218915700</w:t>
            </w:r>
          </w:p>
        </w:tc>
        <w:tc>
          <w:tcPr>
            <w:tcW w:w="4209" w:type="dxa"/>
            <w:tcBorders>
              <w:top w:val="nil"/>
              <w:left w:val="nil"/>
              <w:bottom w:val="single" w:sz="4" w:space="0" w:color="auto"/>
              <w:right w:val="single" w:sz="4" w:space="0" w:color="auto"/>
            </w:tcBorders>
            <w:vAlign w:val="center"/>
            <w:hideMark/>
          </w:tcPr>
          <w:p w14:paraId="645A83AB" w14:textId="6686DDC3"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xml:space="preserve">'= Obrigações com Entidades Federais </w:t>
            </w:r>
          </w:p>
        </w:tc>
        <w:tc>
          <w:tcPr>
            <w:tcW w:w="1934" w:type="dxa"/>
            <w:tcBorders>
              <w:top w:val="nil"/>
              <w:left w:val="nil"/>
              <w:bottom w:val="single" w:sz="4" w:space="0" w:color="auto"/>
              <w:right w:val="single" w:sz="4" w:space="0" w:color="auto"/>
            </w:tcBorders>
            <w:vAlign w:val="center"/>
            <w:hideMark/>
          </w:tcPr>
          <w:p w14:paraId="7F7A1C32"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w:t>
            </w:r>
          </w:p>
        </w:tc>
        <w:tc>
          <w:tcPr>
            <w:tcW w:w="0" w:type="auto"/>
            <w:tcBorders>
              <w:top w:val="nil"/>
              <w:left w:val="nil"/>
              <w:bottom w:val="single" w:sz="4" w:space="0" w:color="auto"/>
              <w:right w:val="single" w:sz="4" w:space="0" w:color="auto"/>
            </w:tcBorders>
            <w:vAlign w:val="center"/>
            <w:hideMark/>
          </w:tcPr>
          <w:p w14:paraId="0A98ABA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0E1684AF"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2248BED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24</w:t>
            </w:r>
          </w:p>
        </w:tc>
        <w:tc>
          <w:tcPr>
            <w:tcW w:w="0" w:type="auto"/>
            <w:tcBorders>
              <w:top w:val="nil"/>
              <w:left w:val="nil"/>
              <w:bottom w:val="single" w:sz="4" w:space="0" w:color="auto"/>
              <w:right w:val="single" w:sz="4" w:space="0" w:color="auto"/>
            </w:tcBorders>
            <w:vAlign w:val="center"/>
            <w:hideMark/>
          </w:tcPr>
          <w:p w14:paraId="5BCD52E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218945700</w:t>
            </w:r>
          </w:p>
        </w:tc>
        <w:tc>
          <w:tcPr>
            <w:tcW w:w="4209" w:type="dxa"/>
            <w:tcBorders>
              <w:top w:val="nil"/>
              <w:left w:val="nil"/>
              <w:bottom w:val="single" w:sz="4" w:space="0" w:color="auto"/>
              <w:right w:val="single" w:sz="4" w:space="0" w:color="auto"/>
            </w:tcBorders>
            <w:vAlign w:val="center"/>
            <w:hideMark/>
          </w:tcPr>
          <w:p w14:paraId="6EF184B6"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Obrigações com Entidades Estaduais</w:t>
            </w:r>
          </w:p>
        </w:tc>
        <w:tc>
          <w:tcPr>
            <w:tcW w:w="1934" w:type="dxa"/>
            <w:tcBorders>
              <w:top w:val="nil"/>
              <w:left w:val="nil"/>
              <w:bottom w:val="single" w:sz="4" w:space="0" w:color="auto"/>
              <w:right w:val="single" w:sz="4" w:space="0" w:color="auto"/>
            </w:tcBorders>
            <w:vAlign w:val="center"/>
            <w:hideMark/>
          </w:tcPr>
          <w:p w14:paraId="427D277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w:t>
            </w:r>
          </w:p>
        </w:tc>
        <w:tc>
          <w:tcPr>
            <w:tcW w:w="0" w:type="auto"/>
            <w:tcBorders>
              <w:top w:val="nil"/>
              <w:left w:val="nil"/>
              <w:bottom w:val="single" w:sz="4" w:space="0" w:color="auto"/>
              <w:right w:val="single" w:sz="4" w:space="0" w:color="auto"/>
            </w:tcBorders>
            <w:vAlign w:val="center"/>
            <w:hideMark/>
          </w:tcPr>
          <w:p w14:paraId="565ECE20"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5A6783C1"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0ECE600"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25</w:t>
            </w:r>
          </w:p>
        </w:tc>
        <w:tc>
          <w:tcPr>
            <w:tcW w:w="0" w:type="auto"/>
            <w:tcBorders>
              <w:top w:val="nil"/>
              <w:left w:val="nil"/>
              <w:bottom w:val="single" w:sz="4" w:space="0" w:color="auto"/>
              <w:right w:val="single" w:sz="4" w:space="0" w:color="auto"/>
            </w:tcBorders>
            <w:vAlign w:val="center"/>
            <w:hideMark/>
          </w:tcPr>
          <w:p w14:paraId="6B4038DB"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218955700</w:t>
            </w:r>
          </w:p>
        </w:tc>
        <w:tc>
          <w:tcPr>
            <w:tcW w:w="4209" w:type="dxa"/>
            <w:tcBorders>
              <w:top w:val="nil"/>
              <w:left w:val="nil"/>
              <w:bottom w:val="single" w:sz="4" w:space="0" w:color="auto"/>
              <w:right w:val="single" w:sz="4" w:space="0" w:color="auto"/>
            </w:tcBorders>
            <w:vAlign w:val="center"/>
            <w:hideMark/>
          </w:tcPr>
          <w:p w14:paraId="19D225DE"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Obrigações com Entidades Municipais</w:t>
            </w:r>
          </w:p>
        </w:tc>
        <w:tc>
          <w:tcPr>
            <w:tcW w:w="1934" w:type="dxa"/>
            <w:tcBorders>
              <w:top w:val="nil"/>
              <w:left w:val="nil"/>
              <w:bottom w:val="single" w:sz="4" w:space="0" w:color="auto"/>
              <w:right w:val="single" w:sz="4" w:space="0" w:color="auto"/>
            </w:tcBorders>
            <w:vAlign w:val="center"/>
            <w:hideMark/>
          </w:tcPr>
          <w:p w14:paraId="2E03765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20.882,46 </w:t>
            </w:r>
          </w:p>
        </w:tc>
        <w:tc>
          <w:tcPr>
            <w:tcW w:w="0" w:type="auto"/>
            <w:tcBorders>
              <w:top w:val="nil"/>
              <w:left w:val="nil"/>
              <w:bottom w:val="single" w:sz="4" w:space="0" w:color="auto"/>
              <w:right w:val="single" w:sz="4" w:space="0" w:color="auto"/>
            </w:tcBorders>
            <w:vAlign w:val="center"/>
            <w:hideMark/>
          </w:tcPr>
          <w:p w14:paraId="55DEAB8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6AE0DDF7"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0366CE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26</w:t>
            </w:r>
          </w:p>
        </w:tc>
        <w:tc>
          <w:tcPr>
            <w:tcW w:w="0" w:type="auto"/>
            <w:tcBorders>
              <w:top w:val="nil"/>
              <w:left w:val="nil"/>
              <w:bottom w:val="single" w:sz="4" w:space="0" w:color="auto"/>
              <w:right w:val="single" w:sz="4" w:space="0" w:color="auto"/>
            </w:tcBorders>
            <w:vAlign w:val="center"/>
            <w:hideMark/>
          </w:tcPr>
          <w:p w14:paraId="52FD12C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237110300</w:t>
            </w:r>
          </w:p>
        </w:tc>
        <w:tc>
          <w:tcPr>
            <w:tcW w:w="4209" w:type="dxa"/>
            <w:tcBorders>
              <w:top w:val="nil"/>
              <w:left w:val="nil"/>
              <w:bottom w:val="single" w:sz="4" w:space="0" w:color="auto"/>
              <w:right w:val="single" w:sz="4" w:space="0" w:color="auto"/>
            </w:tcBorders>
            <w:vAlign w:val="center"/>
            <w:hideMark/>
          </w:tcPr>
          <w:p w14:paraId="51C5C72A"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Ajustes de Exercícios Anteriores</w:t>
            </w:r>
          </w:p>
        </w:tc>
        <w:tc>
          <w:tcPr>
            <w:tcW w:w="1934" w:type="dxa"/>
            <w:tcBorders>
              <w:top w:val="nil"/>
              <w:left w:val="nil"/>
              <w:bottom w:val="single" w:sz="4" w:space="0" w:color="auto"/>
              <w:right w:val="single" w:sz="4" w:space="0" w:color="auto"/>
            </w:tcBorders>
            <w:vAlign w:val="center"/>
            <w:hideMark/>
          </w:tcPr>
          <w:p w14:paraId="2B76678E"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-2.561.401,39 </w:t>
            </w:r>
          </w:p>
        </w:tc>
        <w:tc>
          <w:tcPr>
            <w:tcW w:w="0" w:type="auto"/>
            <w:tcBorders>
              <w:top w:val="nil"/>
              <w:left w:val="nil"/>
              <w:bottom w:val="single" w:sz="4" w:space="0" w:color="auto"/>
              <w:right w:val="single" w:sz="4" w:space="0" w:color="auto"/>
            </w:tcBorders>
            <w:vAlign w:val="center"/>
            <w:hideMark/>
          </w:tcPr>
          <w:p w14:paraId="786F8F7E"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27762179"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FB03D0C"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27</w:t>
            </w:r>
          </w:p>
        </w:tc>
        <w:tc>
          <w:tcPr>
            <w:tcW w:w="0" w:type="auto"/>
            <w:tcBorders>
              <w:top w:val="nil"/>
              <w:left w:val="nil"/>
              <w:bottom w:val="single" w:sz="4" w:space="0" w:color="auto"/>
              <w:right w:val="single" w:sz="4" w:space="0" w:color="auto"/>
            </w:tcBorders>
            <w:vAlign w:val="center"/>
            <w:hideMark/>
          </w:tcPr>
          <w:p w14:paraId="3722D9FD"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311110200</w:t>
            </w:r>
          </w:p>
        </w:tc>
        <w:tc>
          <w:tcPr>
            <w:tcW w:w="4209" w:type="dxa"/>
            <w:tcBorders>
              <w:top w:val="nil"/>
              <w:left w:val="nil"/>
              <w:bottom w:val="single" w:sz="4" w:space="0" w:color="auto"/>
              <w:right w:val="single" w:sz="4" w:space="0" w:color="auto"/>
            </w:tcBorders>
            <w:vAlign w:val="center"/>
            <w:hideMark/>
          </w:tcPr>
          <w:p w14:paraId="4F119693"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Abonos</w:t>
            </w:r>
          </w:p>
        </w:tc>
        <w:tc>
          <w:tcPr>
            <w:tcW w:w="1934" w:type="dxa"/>
            <w:tcBorders>
              <w:top w:val="nil"/>
              <w:left w:val="nil"/>
              <w:bottom w:val="single" w:sz="4" w:space="0" w:color="auto"/>
              <w:right w:val="single" w:sz="4" w:space="0" w:color="auto"/>
            </w:tcBorders>
            <w:vAlign w:val="center"/>
            <w:hideMark/>
          </w:tcPr>
          <w:p w14:paraId="70CA732B"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4.508.947,42 </w:t>
            </w:r>
          </w:p>
        </w:tc>
        <w:tc>
          <w:tcPr>
            <w:tcW w:w="0" w:type="auto"/>
            <w:tcBorders>
              <w:top w:val="nil"/>
              <w:left w:val="nil"/>
              <w:bottom w:val="single" w:sz="4" w:space="0" w:color="auto"/>
              <w:right w:val="single" w:sz="4" w:space="0" w:color="auto"/>
            </w:tcBorders>
            <w:vAlign w:val="center"/>
            <w:hideMark/>
          </w:tcPr>
          <w:p w14:paraId="21B13CCC"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100E10D8"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79EEDDBE"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28</w:t>
            </w:r>
          </w:p>
        </w:tc>
        <w:tc>
          <w:tcPr>
            <w:tcW w:w="0" w:type="auto"/>
            <w:tcBorders>
              <w:top w:val="nil"/>
              <w:left w:val="nil"/>
              <w:bottom w:val="single" w:sz="4" w:space="0" w:color="auto"/>
              <w:right w:val="single" w:sz="4" w:space="0" w:color="auto"/>
            </w:tcBorders>
            <w:vAlign w:val="center"/>
            <w:hideMark/>
          </w:tcPr>
          <w:p w14:paraId="5BBDCA7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311110300</w:t>
            </w:r>
          </w:p>
        </w:tc>
        <w:tc>
          <w:tcPr>
            <w:tcW w:w="4209" w:type="dxa"/>
            <w:tcBorders>
              <w:top w:val="nil"/>
              <w:left w:val="nil"/>
              <w:bottom w:val="single" w:sz="4" w:space="0" w:color="auto"/>
              <w:right w:val="single" w:sz="4" w:space="0" w:color="auto"/>
            </w:tcBorders>
            <w:vAlign w:val="center"/>
            <w:hideMark/>
          </w:tcPr>
          <w:p w14:paraId="1B0D2E98"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Adicionais</w:t>
            </w:r>
          </w:p>
        </w:tc>
        <w:tc>
          <w:tcPr>
            <w:tcW w:w="1934" w:type="dxa"/>
            <w:tcBorders>
              <w:top w:val="nil"/>
              <w:left w:val="nil"/>
              <w:bottom w:val="single" w:sz="4" w:space="0" w:color="auto"/>
              <w:right w:val="single" w:sz="4" w:space="0" w:color="auto"/>
            </w:tcBorders>
            <w:vAlign w:val="center"/>
            <w:hideMark/>
          </w:tcPr>
          <w:p w14:paraId="63C13E41"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3.656,29 </w:t>
            </w:r>
          </w:p>
        </w:tc>
        <w:tc>
          <w:tcPr>
            <w:tcW w:w="0" w:type="auto"/>
            <w:tcBorders>
              <w:top w:val="nil"/>
              <w:left w:val="nil"/>
              <w:bottom w:val="single" w:sz="4" w:space="0" w:color="auto"/>
              <w:right w:val="single" w:sz="4" w:space="0" w:color="auto"/>
            </w:tcBorders>
            <w:vAlign w:val="center"/>
            <w:hideMark/>
          </w:tcPr>
          <w:p w14:paraId="077E36E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61310DC6"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06A8F3C8"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29</w:t>
            </w:r>
          </w:p>
        </w:tc>
        <w:tc>
          <w:tcPr>
            <w:tcW w:w="0" w:type="auto"/>
            <w:tcBorders>
              <w:top w:val="nil"/>
              <w:left w:val="nil"/>
              <w:bottom w:val="single" w:sz="4" w:space="0" w:color="auto"/>
              <w:right w:val="single" w:sz="4" w:space="0" w:color="auto"/>
            </w:tcBorders>
            <w:vAlign w:val="center"/>
            <w:hideMark/>
          </w:tcPr>
          <w:p w14:paraId="1A9CF3C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311110500</w:t>
            </w:r>
          </w:p>
        </w:tc>
        <w:tc>
          <w:tcPr>
            <w:tcW w:w="4209" w:type="dxa"/>
            <w:tcBorders>
              <w:top w:val="nil"/>
              <w:left w:val="nil"/>
              <w:bottom w:val="single" w:sz="4" w:space="0" w:color="auto"/>
              <w:right w:val="single" w:sz="4" w:space="0" w:color="auto"/>
            </w:tcBorders>
            <w:vAlign w:val="center"/>
            <w:hideMark/>
          </w:tcPr>
          <w:p w14:paraId="12420FDD"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Férias - RPPS</w:t>
            </w:r>
          </w:p>
        </w:tc>
        <w:tc>
          <w:tcPr>
            <w:tcW w:w="1934" w:type="dxa"/>
            <w:tcBorders>
              <w:top w:val="nil"/>
              <w:left w:val="nil"/>
              <w:bottom w:val="single" w:sz="4" w:space="0" w:color="auto"/>
              <w:right w:val="single" w:sz="4" w:space="0" w:color="auto"/>
            </w:tcBorders>
            <w:vAlign w:val="center"/>
            <w:hideMark/>
          </w:tcPr>
          <w:p w14:paraId="0B674597"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39.685.702,87 </w:t>
            </w:r>
          </w:p>
        </w:tc>
        <w:tc>
          <w:tcPr>
            <w:tcW w:w="0" w:type="auto"/>
            <w:tcBorders>
              <w:top w:val="nil"/>
              <w:left w:val="nil"/>
              <w:bottom w:val="single" w:sz="4" w:space="0" w:color="auto"/>
              <w:right w:val="single" w:sz="4" w:space="0" w:color="auto"/>
            </w:tcBorders>
            <w:vAlign w:val="center"/>
            <w:hideMark/>
          </w:tcPr>
          <w:p w14:paraId="13E55D18"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4CCA6AD6"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1EA5DA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30</w:t>
            </w:r>
          </w:p>
        </w:tc>
        <w:tc>
          <w:tcPr>
            <w:tcW w:w="0" w:type="auto"/>
            <w:tcBorders>
              <w:top w:val="nil"/>
              <w:left w:val="nil"/>
              <w:bottom w:val="single" w:sz="4" w:space="0" w:color="auto"/>
              <w:right w:val="single" w:sz="4" w:space="0" w:color="auto"/>
            </w:tcBorders>
            <w:vAlign w:val="center"/>
            <w:hideMark/>
          </w:tcPr>
          <w:p w14:paraId="071727F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311110600</w:t>
            </w:r>
          </w:p>
        </w:tc>
        <w:tc>
          <w:tcPr>
            <w:tcW w:w="4209" w:type="dxa"/>
            <w:tcBorders>
              <w:top w:val="nil"/>
              <w:left w:val="nil"/>
              <w:bottom w:val="single" w:sz="4" w:space="0" w:color="auto"/>
              <w:right w:val="single" w:sz="4" w:space="0" w:color="auto"/>
            </w:tcBorders>
            <w:vAlign w:val="center"/>
            <w:hideMark/>
          </w:tcPr>
          <w:p w14:paraId="1E64B181"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13º Salário - RPPS</w:t>
            </w:r>
          </w:p>
        </w:tc>
        <w:tc>
          <w:tcPr>
            <w:tcW w:w="1934" w:type="dxa"/>
            <w:tcBorders>
              <w:top w:val="nil"/>
              <w:left w:val="nil"/>
              <w:bottom w:val="single" w:sz="4" w:space="0" w:color="auto"/>
              <w:right w:val="single" w:sz="4" w:space="0" w:color="auto"/>
            </w:tcBorders>
            <w:vAlign w:val="center"/>
            <w:hideMark/>
          </w:tcPr>
          <w:p w14:paraId="17FA70FE"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26.610.481,46 </w:t>
            </w:r>
          </w:p>
        </w:tc>
        <w:tc>
          <w:tcPr>
            <w:tcW w:w="0" w:type="auto"/>
            <w:tcBorders>
              <w:top w:val="nil"/>
              <w:left w:val="nil"/>
              <w:bottom w:val="single" w:sz="4" w:space="0" w:color="auto"/>
              <w:right w:val="single" w:sz="4" w:space="0" w:color="auto"/>
            </w:tcBorders>
            <w:vAlign w:val="center"/>
            <w:hideMark/>
          </w:tcPr>
          <w:p w14:paraId="7DCD6C8D"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0BB5033F"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0C71794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w:t>
            </w:r>
          </w:p>
        </w:tc>
        <w:tc>
          <w:tcPr>
            <w:tcW w:w="0" w:type="auto"/>
            <w:tcBorders>
              <w:top w:val="nil"/>
              <w:left w:val="nil"/>
              <w:bottom w:val="single" w:sz="4" w:space="0" w:color="auto"/>
              <w:right w:val="single" w:sz="4" w:space="0" w:color="auto"/>
            </w:tcBorders>
            <w:vAlign w:val="center"/>
            <w:hideMark/>
          </w:tcPr>
          <w:p w14:paraId="78462A9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311110700</w:t>
            </w:r>
          </w:p>
        </w:tc>
        <w:tc>
          <w:tcPr>
            <w:tcW w:w="4209" w:type="dxa"/>
            <w:tcBorders>
              <w:top w:val="nil"/>
              <w:left w:val="nil"/>
              <w:bottom w:val="single" w:sz="4" w:space="0" w:color="auto"/>
              <w:right w:val="single" w:sz="4" w:space="0" w:color="auto"/>
            </w:tcBorders>
            <w:vAlign w:val="center"/>
            <w:hideMark/>
          </w:tcPr>
          <w:p w14:paraId="36DE1ECE"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Licenças</w:t>
            </w:r>
          </w:p>
        </w:tc>
        <w:tc>
          <w:tcPr>
            <w:tcW w:w="1934" w:type="dxa"/>
            <w:tcBorders>
              <w:top w:val="nil"/>
              <w:left w:val="nil"/>
              <w:bottom w:val="single" w:sz="4" w:space="0" w:color="auto"/>
              <w:right w:val="single" w:sz="4" w:space="0" w:color="auto"/>
            </w:tcBorders>
            <w:vAlign w:val="center"/>
            <w:hideMark/>
          </w:tcPr>
          <w:p w14:paraId="0250A739"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807.430,78 </w:t>
            </w:r>
          </w:p>
        </w:tc>
        <w:tc>
          <w:tcPr>
            <w:tcW w:w="0" w:type="auto"/>
            <w:tcBorders>
              <w:top w:val="nil"/>
              <w:left w:val="nil"/>
              <w:bottom w:val="single" w:sz="4" w:space="0" w:color="auto"/>
              <w:right w:val="single" w:sz="4" w:space="0" w:color="auto"/>
            </w:tcBorders>
            <w:vAlign w:val="center"/>
            <w:hideMark/>
          </w:tcPr>
          <w:p w14:paraId="6B2BD5C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31CBD846"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A4A4B1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w:t>
            </w:r>
          </w:p>
        </w:tc>
        <w:tc>
          <w:tcPr>
            <w:tcW w:w="0" w:type="auto"/>
            <w:tcBorders>
              <w:top w:val="nil"/>
              <w:left w:val="nil"/>
              <w:bottom w:val="single" w:sz="4" w:space="0" w:color="auto"/>
              <w:right w:val="single" w:sz="4" w:space="0" w:color="auto"/>
            </w:tcBorders>
            <w:vAlign w:val="center"/>
            <w:hideMark/>
          </w:tcPr>
          <w:p w14:paraId="4F2FD54C"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311110900</w:t>
            </w:r>
          </w:p>
        </w:tc>
        <w:tc>
          <w:tcPr>
            <w:tcW w:w="4209" w:type="dxa"/>
            <w:tcBorders>
              <w:top w:val="nil"/>
              <w:left w:val="nil"/>
              <w:bottom w:val="single" w:sz="4" w:space="0" w:color="auto"/>
              <w:right w:val="single" w:sz="4" w:space="0" w:color="auto"/>
            </w:tcBorders>
            <w:vAlign w:val="center"/>
            <w:hideMark/>
          </w:tcPr>
          <w:p w14:paraId="7916AEEE"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Sentenças Judiciais - Pessoal Ativo RPPS</w:t>
            </w:r>
          </w:p>
        </w:tc>
        <w:tc>
          <w:tcPr>
            <w:tcW w:w="1934" w:type="dxa"/>
            <w:tcBorders>
              <w:top w:val="nil"/>
              <w:left w:val="nil"/>
              <w:bottom w:val="single" w:sz="4" w:space="0" w:color="auto"/>
              <w:right w:val="single" w:sz="4" w:space="0" w:color="auto"/>
            </w:tcBorders>
            <w:vAlign w:val="center"/>
            <w:hideMark/>
          </w:tcPr>
          <w:p w14:paraId="7641D6FF"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124.568,87 </w:t>
            </w:r>
          </w:p>
        </w:tc>
        <w:tc>
          <w:tcPr>
            <w:tcW w:w="0" w:type="auto"/>
            <w:tcBorders>
              <w:top w:val="nil"/>
              <w:left w:val="nil"/>
              <w:bottom w:val="single" w:sz="4" w:space="0" w:color="auto"/>
              <w:right w:val="single" w:sz="4" w:space="0" w:color="auto"/>
            </w:tcBorders>
            <w:vAlign w:val="center"/>
            <w:hideMark/>
          </w:tcPr>
          <w:p w14:paraId="56E1DC43"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61D31D9F"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7434B86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33</w:t>
            </w:r>
          </w:p>
        </w:tc>
        <w:tc>
          <w:tcPr>
            <w:tcW w:w="0" w:type="auto"/>
            <w:tcBorders>
              <w:top w:val="nil"/>
              <w:left w:val="nil"/>
              <w:bottom w:val="single" w:sz="4" w:space="0" w:color="auto"/>
              <w:right w:val="single" w:sz="4" w:space="0" w:color="auto"/>
            </w:tcBorders>
            <w:vAlign w:val="center"/>
            <w:hideMark/>
          </w:tcPr>
          <w:p w14:paraId="2593A32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311210100</w:t>
            </w:r>
          </w:p>
        </w:tc>
        <w:tc>
          <w:tcPr>
            <w:tcW w:w="4209" w:type="dxa"/>
            <w:tcBorders>
              <w:top w:val="nil"/>
              <w:left w:val="nil"/>
              <w:bottom w:val="single" w:sz="4" w:space="0" w:color="auto"/>
              <w:right w:val="single" w:sz="4" w:space="0" w:color="auto"/>
            </w:tcBorders>
            <w:vAlign w:val="center"/>
            <w:hideMark/>
          </w:tcPr>
          <w:p w14:paraId="2BE81279"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Vencimentos e Salários</w:t>
            </w:r>
          </w:p>
        </w:tc>
        <w:tc>
          <w:tcPr>
            <w:tcW w:w="1934" w:type="dxa"/>
            <w:tcBorders>
              <w:top w:val="nil"/>
              <w:left w:val="nil"/>
              <w:bottom w:val="single" w:sz="4" w:space="0" w:color="auto"/>
              <w:right w:val="single" w:sz="4" w:space="0" w:color="auto"/>
            </w:tcBorders>
            <w:vAlign w:val="center"/>
            <w:hideMark/>
          </w:tcPr>
          <w:p w14:paraId="011981FB"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49.057,90 </w:t>
            </w:r>
          </w:p>
        </w:tc>
        <w:tc>
          <w:tcPr>
            <w:tcW w:w="0" w:type="auto"/>
            <w:tcBorders>
              <w:top w:val="nil"/>
              <w:left w:val="nil"/>
              <w:bottom w:val="single" w:sz="4" w:space="0" w:color="auto"/>
              <w:right w:val="single" w:sz="4" w:space="0" w:color="auto"/>
            </w:tcBorders>
            <w:vAlign w:val="center"/>
            <w:hideMark/>
          </w:tcPr>
          <w:p w14:paraId="4A9C1B60"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4DD08EEB"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7B2449B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34</w:t>
            </w:r>
          </w:p>
        </w:tc>
        <w:tc>
          <w:tcPr>
            <w:tcW w:w="0" w:type="auto"/>
            <w:tcBorders>
              <w:top w:val="nil"/>
              <w:left w:val="nil"/>
              <w:bottom w:val="single" w:sz="4" w:space="0" w:color="auto"/>
              <w:right w:val="single" w:sz="4" w:space="0" w:color="auto"/>
            </w:tcBorders>
            <w:vAlign w:val="center"/>
            <w:hideMark/>
          </w:tcPr>
          <w:p w14:paraId="3A2C82A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311210400</w:t>
            </w:r>
          </w:p>
        </w:tc>
        <w:tc>
          <w:tcPr>
            <w:tcW w:w="4209" w:type="dxa"/>
            <w:tcBorders>
              <w:top w:val="nil"/>
              <w:left w:val="nil"/>
              <w:bottom w:val="single" w:sz="4" w:space="0" w:color="auto"/>
              <w:right w:val="single" w:sz="4" w:space="0" w:color="auto"/>
            </w:tcBorders>
            <w:vAlign w:val="center"/>
            <w:hideMark/>
          </w:tcPr>
          <w:p w14:paraId="589C97FB"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Gratificações</w:t>
            </w:r>
          </w:p>
        </w:tc>
        <w:tc>
          <w:tcPr>
            <w:tcW w:w="1934" w:type="dxa"/>
            <w:tcBorders>
              <w:top w:val="nil"/>
              <w:left w:val="nil"/>
              <w:bottom w:val="single" w:sz="4" w:space="0" w:color="auto"/>
              <w:right w:val="single" w:sz="4" w:space="0" w:color="auto"/>
            </w:tcBorders>
            <w:vAlign w:val="center"/>
            <w:hideMark/>
          </w:tcPr>
          <w:p w14:paraId="0A7F603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3.674.680,91 </w:t>
            </w:r>
          </w:p>
        </w:tc>
        <w:tc>
          <w:tcPr>
            <w:tcW w:w="0" w:type="auto"/>
            <w:tcBorders>
              <w:top w:val="nil"/>
              <w:left w:val="nil"/>
              <w:bottom w:val="single" w:sz="4" w:space="0" w:color="auto"/>
              <w:right w:val="single" w:sz="4" w:space="0" w:color="auto"/>
            </w:tcBorders>
            <w:vAlign w:val="center"/>
            <w:hideMark/>
          </w:tcPr>
          <w:p w14:paraId="5399C968"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2FFE11FD"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507BC0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35</w:t>
            </w:r>
          </w:p>
        </w:tc>
        <w:tc>
          <w:tcPr>
            <w:tcW w:w="0" w:type="auto"/>
            <w:tcBorders>
              <w:top w:val="nil"/>
              <w:left w:val="nil"/>
              <w:bottom w:val="single" w:sz="4" w:space="0" w:color="auto"/>
              <w:right w:val="single" w:sz="4" w:space="0" w:color="auto"/>
            </w:tcBorders>
            <w:vAlign w:val="center"/>
            <w:hideMark/>
          </w:tcPr>
          <w:p w14:paraId="24C5B05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311210500</w:t>
            </w:r>
          </w:p>
        </w:tc>
        <w:tc>
          <w:tcPr>
            <w:tcW w:w="4209" w:type="dxa"/>
            <w:tcBorders>
              <w:top w:val="nil"/>
              <w:left w:val="nil"/>
              <w:bottom w:val="single" w:sz="4" w:space="0" w:color="auto"/>
              <w:right w:val="single" w:sz="4" w:space="0" w:color="auto"/>
            </w:tcBorders>
            <w:vAlign w:val="center"/>
            <w:hideMark/>
          </w:tcPr>
          <w:p w14:paraId="4F0AB1E0"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Férias - RGPS</w:t>
            </w:r>
          </w:p>
        </w:tc>
        <w:tc>
          <w:tcPr>
            <w:tcW w:w="1934" w:type="dxa"/>
            <w:tcBorders>
              <w:top w:val="nil"/>
              <w:left w:val="nil"/>
              <w:bottom w:val="single" w:sz="4" w:space="0" w:color="auto"/>
              <w:right w:val="single" w:sz="4" w:space="0" w:color="auto"/>
            </w:tcBorders>
            <w:vAlign w:val="center"/>
            <w:hideMark/>
          </w:tcPr>
          <w:p w14:paraId="6856C806"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435.968,97 </w:t>
            </w:r>
          </w:p>
        </w:tc>
        <w:tc>
          <w:tcPr>
            <w:tcW w:w="0" w:type="auto"/>
            <w:tcBorders>
              <w:top w:val="nil"/>
              <w:left w:val="nil"/>
              <w:bottom w:val="single" w:sz="4" w:space="0" w:color="auto"/>
              <w:right w:val="single" w:sz="4" w:space="0" w:color="auto"/>
            </w:tcBorders>
            <w:vAlign w:val="center"/>
            <w:hideMark/>
          </w:tcPr>
          <w:p w14:paraId="64446C5D"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6EFCB81D"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104E77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36</w:t>
            </w:r>
          </w:p>
        </w:tc>
        <w:tc>
          <w:tcPr>
            <w:tcW w:w="0" w:type="auto"/>
            <w:tcBorders>
              <w:top w:val="nil"/>
              <w:left w:val="nil"/>
              <w:bottom w:val="single" w:sz="4" w:space="0" w:color="auto"/>
              <w:right w:val="single" w:sz="4" w:space="0" w:color="auto"/>
            </w:tcBorders>
            <w:vAlign w:val="center"/>
            <w:hideMark/>
          </w:tcPr>
          <w:p w14:paraId="7430577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311210600</w:t>
            </w:r>
          </w:p>
        </w:tc>
        <w:tc>
          <w:tcPr>
            <w:tcW w:w="4209" w:type="dxa"/>
            <w:tcBorders>
              <w:top w:val="nil"/>
              <w:left w:val="nil"/>
              <w:bottom w:val="single" w:sz="4" w:space="0" w:color="auto"/>
              <w:right w:val="single" w:sz="4" w:space="0" w:color="auto"/>
            </w:tcBorders>
            <w:vAlign w:val="center"/>
            <w:hideMark/>
          </w:tcPr>
          <w:p w14:paraId="7D98092E"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13º Salário - RGPS</w:t>
            </w:r>
          </w:p>
        </w:tc>
        <w:tc>
          <w:tcPr>
            <w:tcW w:w="1934" w:type="dxa"/>
            <w:tcBorders>
              <w:top w:val="nil"/>
              <w:left w:val="nil"/>
              <w:bottom w:val="single" w:sz="4" w:space="0" w:color="auto"/>
              <w:right w:val="single" w:sz="4" w:space="0" w:color="auto"/>
            </w:tcBorders>
            <w:vAlign w:val="center"/>
            <w:hideMark/>
          </w:tcPr>
          <w:p w14:paraId="4CA51648"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326.976,61 </w:t>
            </w:r>
          </w:p>
        </w:tc>
        <w:tc>
          <w:tcPr>
            <w:tcW w:w="0" w:type="auto"/>
            <w:tcBorders>
              <w:top w:val="nil"/>
              <w:left w:val="nil"/>
              <w:bottom w:val="single" w:sz="4" w:space="0" w:color="auto"/>
              <w:right w:val="single" w:sz="4" w:space="0" w:color="auto"/>
            </w:tcBorders>
            <w:vAlign w:val="center"/>
            <w:hideMark/>
          </w:tcPr>
          <w:p w14:paraId="7454A9A3"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713094" w:rsidRPr="00634ADA" w14:paraId="44D81114"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tcPr>
          <w:p w14:paraId="513086BB" w14:textId="0DCD4DDE" w:rsidR="00713094" w:rsidRPr="00634ADA" w:rsidRDefault="00713094" w:rsidP="00634ADA">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37</w:t>
            </w:r>
          </w:p>
        </w:tc>
        <w:tc>
          <w:tcPr>
            <w:tcW w:w="0" w:type="auto"/>
            <w:tcBorders>
              <w:top w:val="nil"/>
              <w:left w:val="nil"/>
              <w:bottom w:val="single" w:sz="4" w:space="0" w:color="auto"/>
              <w:right w:val="single" w:sz="4" w:space="0" w:color="auto"/>
            </w:tcBorders>
            <w:vAlign w:val="center"/>
          </w:tcPr>
          <w:p w14:paraId="4DAD9437" w14:textId="02E55515" w:rsidR="00713094" w:rsidRPr="00634ADA" w:rsidRDefault="00713094" w:rsidP="00634ADA">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312220100</w:t>
            </w:r>
          </w:p>
        </w:tc>
        <w:tc>
          <w:tcPr>
            <w:tcW w:w="4209" w:type="dxa"/>
            <w:tcBorders>
              <w:top w:val="nil"/>
              <w:left w:val="nil"/>
              <w:bottom w:val="single" w:sz="4" w:space="0" w:color="auto"/>
              <w:right w:val="single" w:sz="4" w:space="0" w:color="auto"/>
            </w:tcBorders>
            <w:vAlign w:val="center"/>
          </w:tcPr>
          <w:p w14:paraId="171BEB7B" w14:textId="771F5025" w:rsidR="00713094" w:rsidRPr="00634ADA" w:rsidRDefault="00713094" w:rsidP="00634ADA">
            <w:pPr>
              <w:ind w:firstLine="0"/>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Contribuições Previdenciárias – INSS</w:t>
            </w:r>
          </w:p>
        </w:tc>
        <w:tc>
          <w:tcPr>
            <w:tcW w:w="1934" w:type="dxa"/>
            <w:tcBorders>
              <w:top w:val="nil"/>
              <w:left w:val="nil"/>
              <w:bottom w:val="single" w:sz="4" w:space="0" w:color="auto"/>
              <w:right w:val="single" w:sz="4" w:space="0" w:color="auto"/>
            </w:tcBorders>
            <w:vAlign w:val="center"/>
          </w:tcPr>
          <w:p w14:paraId="25259DEF" w14:textId="5F2148EF" w:rsidR="00713094" w:rsidRPr="00634ADA" w:rsidRDefault="00713094" w:rsidP="00634ADA">
            <w:pPr>
              <w:ind w:firstLine="0"/>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814.658,41</w:t>
            </w:r>
          </w:p>
        </w:tc>
        <w:tc>
          <w:tcPr>
            <w:tcW w:w="0" w:type="auto"/>
            <w:tcBorders>
              <w:top w:val="nil"/>
              <w:left w:val="nil"/>
              <w:bottom w:val="single" w:sz="4" w:space="0" w:color="auto"/>
              <w:right w:val="single" w:sz="4" w:space="0" w:color="auto"/>
            </w:tcBorders>
            <w:vAlign w:val="center"/>
          </w:tcPr>
          <w:p w14:paraId="2F28A1E8" w14:textId="45034844" w:rsidR="00713094" w:rsidRPr="00634ADA" w:rsidRDefault="00713094" w:rsidP="00634ADA">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Pessoal</w:t>
            </w:r>
          </w:p>
        </w:tc>
      </w:tr>
      <w:tr w:rsidR="00030041" w:rsidRPr="00634ADA" w14:paraId="4B90F5CB"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703031EF" w14:textId="339ABA71"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lastRenderedPageBreak/>
              <w:t>3</w:t>
            </w:r>
            <w:r w:rsidR="00713094">
              <w:rPr>
                <w:rFonts w:ascii="Times New Roman" w:eastAsia="Times New Roman" w:hAnsi="Times New Roman" w:cs="Times New Roman"/>
                <w:color w:val="000000"/>
                <w:sz w:val="20"/>
                <w:szCs w:val="20"/>
                <w:lang w:eastAsia="pt-BR"/>
              </w:rPr>
              <w:t>8</w:t>
            </w:r>
          </w:p>
        </w:tc>
        <w:tc>
          <w:tcPr>
            <w:tcW w:w="0" w:type="auto"/>
            <w:tcBorders>
              <w:top w:val="nil"/>
              <w:left w:val="nil"/>
              <w:bottom w:val="single" w:sz="4" w:space="0" w:color="auto"/>
              <w:right w:val="single" w:sz="4" w:space="0" w:color="auto"/>
            </w:tcBorders>
            <w:vAlign w:val="center"/>
            <w:hideMark/>
          </w:tcPr>
          <w:p w14:paraId="03F8925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312220300</w:t>
            </w:r>
          </w:p>
        </w:tc>
        <w:tc>
          <w:tcPr>
            <w:tcW w:w="4209" w:type="dxa"/>
            <w:tcBorders>
              <w:top w:val="nil"/>
              <w:left w:val="nil"/>
              <w:bottom w:val="single" w:sz="4" w:space="0" w:color="auto"/>
              <w:right w:val="single" w:sz="4" w:space="0" w:color="auto"/>
            </w:tcBorders>
            <w:vAlign w:val="center"/>
            <w:hideMark/>
          </w:tcPr>
          <w:p w14:paraId="7212D876"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xml:space="preserve">Contribuição </w:t>
            </w:r>
            <w:proofErr w:type="spellStart"/>
            <w:r w:rsidRPr="00634ADA">
              <w:rPr>
                <w:rFonts w:ascii="Times New Roman" w:eastAsia="Times New Roman" w:hAnsi="Times New Roman" w:cs="Times New Roman"/>
                <w:color w:val="000000"/>
                <w:sz w:val="20"/>
                <w:szCs w:val="20"/>
                <w:lang w:eastAsia="pt-BR"/>
              </w:rPr>
              <w:t>Gilrat</w:t>
            </w:r>
            <w:proofErr w:type="spellEnd"/>
          </w:p>
        </w:tc>
        <w:tc>
          <w:tcPr>
            <w:tcW w:w="1934" w:type="dxa"/>
            <w:tcBorders>
              <w:top w:val="nil"/>
              <w:left w:val="nil"/>
              <w:bottom w:val="single" w:sz="4" w:space="0" w:color="auto"/>
              <w:right w:val="single" w:sz="4" w:space="0" w:color="auto"/>
            </w:tcBorders>
            <w:vAlign w:val="center"/>
            <w:hideMark/>
          </w:tcPr>
          <w:p w14:paraId="5807244C"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20.366,36 </w:t>
            </w:r>
          </w:p>
        </w:tc>
        <w:tc>
          <w:tcPr>
            <w:tcW w:w="0" w:type="auto"/>
            <w:tcBorders>
              <w:top w:val="nil"/>
              <w:left w:val="nil"/>
              <w:bottom w:val="single" w:sz="4" w:space="0" w:color="auto"/>
              <w:right w:val="single" w:sz="4" w:space="0" w:color="auto"/>
            </w:tcBorders>
            <w:vAlign w:val="center"/>
            <w:hideMark/>
          </w:tcPr>
          <w:p w14:paraId="2508542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2775AA26"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3324B3C" w14:textId="66287261"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w:t>
            </w:r>
            <w:r w:rsidR="00713094">
              <w:rPr>
                <w:rFonts w:ascii="Times New Roman" w:eastAsia="Times New Roman" w:hAnsi="Times New Roman" w:cs="Times New Roman"/>
                <w:color w:val="000000"/>
                <w:sz w:val="20"/>
                <w:szCs w:val="20"/>
                <w:lang w:eastAsia="pt-BR"/>
              </w:rPr>
              <w:t>9</w:t>
            </w:r>
          </w:p>
        </w:tc>
        <w:tc>
          <w:tcPr>
            <w:tcW w:w="0" w:type="auto"/>
            <w:tcBorders>
              <w:top w:val="nil"/>
              <w:left w:val="nil"/>
              <w:bottom w:val="single" w:sz="4" w:space="0" w:color="auto"/>
              <w:right w:val="single" w:sz="4" w:space="0" w:color="auto"/>
            </w:tcBorders>
            <w:vAlign w:val="center"/>
            <w:hideMark/>
          </w:tcPr>
          <w:p w14:paraId="0B7CF22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312510100</w:t>
            </w:r>
          </w:p>
        </w:tc>
        <w:tc>
          <w:tcPr>
            <w:tcW w:w="4209" w:type="dxa"/>
            <w:tcBorders>
              <w:top w:val="nil"/>
              <w:left w:val="nil"/>
              <w:bottom w:val="single" w:sz="4" w:space="0" w:color="auto"/>
              <w:right w:val="single" w:sz="4" w:space="0" w:color="auto"/>
            </w:tcBorders>
            <w:vAlign w:val="center"/>
            <w:hideMark/>
          </w:tcPr>
          <w:p w14:paraId="53625BDE"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Complementação de Previdência</w:t>
            </w:r>
          </w:p>
        </w:tc>
        <w:tc>
          <w:tcPr>
            <w:tcW w:w="1934" w:type="dxa"/>
            <w:tcBorders>
              <w:top w:val="nil"/>
              <w:left w:val="nil"/>
              <w:bottom w:val="single" w:sz="4" w:space="0" w:color="auto"/>
              <w:right w:val="single" w:sz="4" w:space="0" w:color="auto"/>
            </w:tcBorders>
            <w:vAlign w:val="center"/>
            <w:hideMark/>
          </w:tcPr>
          <w:p w14:paraId="7F6B3919"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5.007.232,10 </w:t>
            </w:r>
          </w:p>
        </w:tc>
        <w:tc>
          <w:tcPr>
            <w:tcW w:w="0" w:type="auto"/>
            <w:tcBorders>
              <w:top w:val="nil"/>
              <w:left w:val="nil"/>
              <w:bottom w:val="single" w:sz="4" w:space="0" w:color="auto"/>
              <w:right w:val="single" w:sz="4" w:space="0" w:color="auto"/>
            </w:tcBorders>
            <w:vAlign w:val="center"/>
            <w:hideMark/>
          </w:tcPr>
          <w:p w14:paraId="4F7A720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2D9CBADB"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680D3657" w14:textId="2DAEB2E4" w:rsidR="00634ADA" w:rsidRPr="00634ADA" w:rsidRDefault="00713094" w:rsidP="00634ADA">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40</w:t>
            </w:r>
          </w:p>
        </w:tc>
        <w:tc>
          <w:tcPr>
            <w:tcW w:w="0" w:type="auto"/>
            <w:tcBorders>
              <w:top w:val="nil"/>
              <w:left w:val="nil"/>
              <w:bottom w:val="single" w:sz="4" w:space="0" w:color="auto"/>
              <w:right w:val="single" w:sz="4" w:space="0" w:color="auto"/>
            </w:tcBorders>
            <w:vAlign w:val="center"/>
            <w:hideMark/>
          </w:tcPr>
          <w:p w14:paraId="5DEA8CD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313110100</w:t>
            </w:r>
          </w:p>
        </w:tc>
        <w:tc>
          <w:tcPr>
            <w:tcW w:w="4209" w:type="dxa"/>
            <w:tcBorders>
              <w:top w:val="nil"/>
              <w:left w:val="nil"/>
              <w:bottom w:val="single" w:sz="4" w:space="0" w:color="auto"/>
              <w:right w:val="single" w:sz="4" w:space="0" w:color="auto"/>
            </w:tcBorders>
            <w:vAlign w:val="center"/>
            <w:hideMark/>
          </w:tcPr>
          <w:p w14:paraId="0A29B06F"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Auxílio Alimentação</w:t>
            </w:r>
          </w:p>
        </w:tc>
        <w:tc>
          <w:tcPr>
            <w:tcW w:w="1934" w:type="dxa"/>
            <w:tcBorders>
              <w:top w:val="nil"/>
              <w:left w:val="nil"/>
              <w:bottom w:val="single" w:sz="4" w:space="0" w:color="auto"/>
              <w:right w:val="single" w:sz="4" w:space="0" w:color="auto"/>
            </w:tcBorders>
            <w:vAlign w:val="center"/>
            <w:hideMark/>
          </w:tcPr>
          <w:p w14:paraId="7C6238C2"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24.002.573,26 </w:t>
            </w:r>
          </w:p>
        </w:tc>
        <w:tc>
          <w:tcPr>
            <w:tcW w:w="0" w:type="auto"/>
            <w:tcBorders>
              <w:top w:val="nil"/>
              <w:left w:val="nil"/>
              <w:bottom w:val="single" w:sz="4" w:space="0" w:color="auto"/>
              <w:right w:val="single" w:sz="4" w:space="0" w:color="auto"/>
            </w:tcBorders>
            <w:vAlign w:val="center"/>
            <w:hideMark/>
          </w:tcPr>
          <w:p w14:paraId="5F2871A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1E2AC1BC"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70B93D52" w14:textId="19C8BA6B"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r w:rsidR="00713094">
              <w:rPr>
                <w:rFonts w:ascii="Times New Roman" w:eastAsia="Times New Roman" w:hAnsi="Times New Roman" w:cs="Times New Roman"/>
                <w:color w:val="000000"/>
                <w:sz w:val="20"/>
                <w:szCs w:val="20"/>
                <w:lang w:eastAsia="pt-BR"/>
              </w:rPr>
              <w:t>1</w:t>
            </w:r>
          </w:p>
        </w:tc>
        <w:tc>
          <w:tcPr>
            <w:tcW w:w="0" w:type="auto"/>
            <w:tcBorders>
              <w:top w:val="nil"/>
              <w:left w:val="nil"/>
              <w:bottom w:val="single" w:sz="4" w:space="0" w:color="auto"/>
              <w:right w:val="single" w:sz="4" w:space="0" w:color="auto"/>
            </w:tcBorders>
            <w:vAlign w:val="center"/>
            <w:hideMark/>
          </w:tcPr>
          <w:p w14:paraId="0D7263DC"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313110300</w:t>
            </w:r>
          </w:p>
        </w:tc>
        <w:tc>
          <w:tcPr>
            <w:tcW w:w="4209" w:type="dxa"/>
            <w:tcBorders>
              <w:top w:val="nil"/>
              <w:left w:val="nil"/>
              <w:bottom w:val="single" w:sz="4" w:space="0" w:color="auto"/>
              <w:right w:val="single" w:sz="4" w:space="0" w:color="auto"/>
            </w:tcBorders>
            <w:vAlign w:val="center"/>
            <w:hideMark/>
          </w:tcPr>
          <w:p w14:paraId="786DA624"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Auxílio Moradia - RPPS</w:t>
            </w:r>
          </w:p>
        </w:tc>
        <w:tc>
          <w:tcPr>
            <w:tcW w:w="1934" w:type="dxa"/>
            <w:tcBorders>
              <w:top w:val="nil"/>
              <w:left w:val="nil"/>
              <w:bottom w:val="single" w:sz="4" w:space="0" w:color="auto"/>
              <w:right w:val="single" w:sz="4" w:space="0" w:color="auto"/>
            </w:tcBorders>
            <w:vAlign w:val="center"/>
            <w:hideMark/>
          </w:tcPr>
          <w:p w14:paraId="218BAE43"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806.043,95 </w:t>
            </w:r>
          </w:p>
        </w:tc>
        <w:tc>
          <w:tcPr>
            <w:tcW w:w="0" w:type="auto"/>
            <w:tcBorders>
              <w:top w:val="nil"/>
              <w:left w:val="nil"/>
              <w:bottom w:val="single" w:sz="4" w:space="0" w:color="auto"/>
              <w:right w:val="single" w:sz="4" w:space="0" w:color="auto"/>
            </w:tcBorders>
            <w:vAlign w:val="center"/>
            <w:hideMark/>
          </w:tcPr>
          <w:p w14:paraId="06A90B7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11E32041"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6956FE6B" w14:textId="70FF1FBD"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r w:rsidR="00713094">
              <w:rPr>
                <w:rFonts w:ascii="Times New Roman" w:eastAsia="Times New Roman" w:hAnsi="Times New Roman" w:cs="Times New Roman"/>
                <w:color w:val="000000"/>
                <w:sz w:val="20"/>
                <w:szCs w:val="20"/>
                <w:lang w:eastAsia="pt-BR"/>
              </w:rPr>
              <w:t>2</w:t>
            </w:r>
          </w:p>
        </w:tc>
        <w:tc>
          <w:tcPr>
            <w:tcW w:w="0" w:type="auto"/>
            <w:tcBorders>
              <w:top w:val="nil"/>
              <w:left w:val="nil"/>
              <w:bottom w:val="single" w:sz="4" w:space="0" w:color="auto"/>
              <w:right w:val="single" w:sz="4" w:space="0" w:color="auto"/>
            </w:tcBorders>
            <w:vAlign w:val="center"/>
            <w:hideMark/>
          </w:tcPr>
          <w:p w14:paraId="496B46C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313110600</w:t>
            </w:r>
          </w:p>
        </w:tc>
        <w:tc>
          <w:tcPr>
            <w:tcW w:w="4209" w:type="dxa"/>
            <w:tcBorders>
              <w:top w:val="nil"/>
              <w:left w:val="nil"/>
              <w:bottom w:val="single" w:sz="4" w:space="0" w:color="auto"/>
              <w:right w:val="single" w:sz="4" w:space="0" w:color="auto"/>
            </w:tcBorders>
            <w:vAlign w:val="center"/>
            <w:hideMark/>
          </w:tcPr>
          <w:p w14:paraId="33864BEE"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Auxílio Creche</w:t>
            </w:r>
          </w:p>
        </w:tc>
        <w:tc>
          <w:tcPr>
            <w:tcW w:w="1934" w:type="dxa"/>
            <w:tcBorders>
              <w:top w:val="nil"/>
              <w:left w:val="nil"/>
              <w:bottom w:val="single" w:sz="4" w:space="0" w:color="auto"/>
              <w:right w:val="single" w:sz="4" w:space="0" w:color="auto"/>
            </w:tcBorders>
            <w:vAlign w:val="center"/>
            <w:hideMark/>
          </w:tcPr>
          <w:p w14:paraId="421BBFEE"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3.070.079,02 </w:t>
            </w:r>
          </w:p>
        </w:tc>
        <w:tc>
          <w:tcPr>
            <w:tcW w:w="0" w:type="auto"/>
            <w:tcBorders>
              <w:top w:val="nil"/>
              <w:left w:val="nil"/>
              <w:bottom w:val="single" w:sz="4" w:space="0" w:color="auto"/>
              <w:right w:val="single" w:sz="4" w:space="0" w:color="auto"/>
            </w:tcBorders>
            <w:vAlign w:val="center"/>
            <w:hideMark/>
          </w:tcPr>
          <w:p w14:paraId="3D9ED87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5EBA2AF2"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1591AFB" w14:textId="4DB49ADC"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r w:rsidR="00713094">
              <w:rPr>
                <w:rFonts w:ascii="Times New Roman" w:eastAsia="Times New Roman" w:hAnsi="Times New Roman" w:cs="Times New Roman"/>
                <w:color w:val="000000"/>
                <w:sz w:val="20"/>
                <w:szCs w:val="20"/>
                <w:lang w:eastAsia="pt-BR"/>
              </w:rPr>
              <w:t>3</w:t>
            </w:r>
          </w:p>
        </w:tc>
        <w:tc>
          <w:tcPr>
            <w:tcW w:w="0" w:type="auto"/>
            <w:tcBorders>
              <w:top w:val="nil"/>
              <w:left w:val="nil"/>
              <w:bottom w:val="single" w:sz="4" w:space="0" w:color="auto"/>
              <w:right w:val="single" w:sz="4" w:space="0" w:color="auto"/>
            </w:tcBorders>
            <w:vAlign w:val="center"/>
            <w:hideMark/>
          </w:tcPr>
          <w:p w14:paraId="626CDFF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313210100</w:t>
            </w:r>
          </w:p>
        </w:tc>
        <w:tc>
          <w:tcPr>
            <w:tcW w:w="4209" w:type="dxa"/>
            <w:tcBorders>
              <w:top w:val="nil"/>
              <w:left w:val="nil"/>
              <w:bottom w:val="single" w:sz="4" w:space="0" w:color="auto"/>
              <w:right w:val="single" w:sz="4" w:space="0" w:color="auto"/>
            </w:tcBorders>
            <w:vAlign w:val="center"/>
            <w:hideMark/>
          </w:tcPr>
          <w:p w14:paraId="05D88C81"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Auxílio Alimentação</w:t>
            </w:r>
          </w:p>
        </w:tc>
        <w:tc>
          <w:tcPr>
            <w:tcW w:w="1934" w:type="dxa"/>
            <w:tcBorders>
              <w:top w:val="nil"/>
              <w:left w:val="nil"/>
              <w:bottom w:val="single" w:sz="4" w:space="0" w:color="auto"/>
              <w:right w:val="single" w:sz="4" w:space="0" w:color="auto"/>
            </w:tcBorders>
            <w:vAlign w:val="center"/>
            <w:hideMark/>
          </w:tcPr>
          <w:p w14:paraId="5F92E3D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866.209,27 </w:t>
            </w:r>
          </w:p>
        </w:tc>
        <w:tc>
          <w:tcPr>
            <w:tcW w:w="0" w:type="auto"/>
            <w:tcBorders>
              <w:top w:val="nil"/>
              <w:left w:val="nil"/>
              <w:bottom w:val="single" w:sz="4" w:space="0" w:color="auto"/>
              <w:right w:val="single" w:sz="4" w:space="0" w:color="auto"/>
            </w:tcBorders>
            <w:vAlign w:val="center"/>
            <w:hideMark/>
          </w:tcPr>
          <w:p w14:paraId="213A902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2910E899"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270E77E2" w14:textId="083F6B6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r w:rsidR="00713094">
              <w:rPr>
                <w:rFonts w:ascii="Times New Roman" w:eastAsia="Times New Roman" w:hAnsi="Times New Roman" w:cs="Times New Roman"/>
                <w:color w:val="000000"/>
                <w:sz w:val="20"/>
                <w:szCs w:val="20"/>
                <w:lang w:eastAsia="pt-BR"/>
              </w:rPr>
              <w:t>4</w:t>
            </w:r>
          </w:p>
        </w:tc>
        <w:tc>
          <w:tcPr>
            <w:tcW w:w="0" w:type="auto"/>
            <w:tcBorders>
              <w:top w:val="nil"/>
              <w:left w:val="nil"/>
              <w:bottom w:val="single" w:sz="4" w:space="0" w:color="auto"/>
              <w:right w:val="single" w:sz="4" w:space="0" w:color="auto"/>
            </w:tcBorders>
            <w:vAlign w:val="center"/>
            <w:hideMark/>
          </w:tcPr>
          <w:p w14:paraId="7119D72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313210300</w:t>
            </w:r>
          </w:p>
        </w:tc>
        <w:tc>
          <w:tcPr>
            <w:tcW w:w="4209" w:type="dxa"/>
            <w:tcBorders>
              <w:top w:val="nil"/>
              <w:left w:val="nil"/>
              <w:bottom w:val="single" w:sz="4" w:space="0" w:color="auto"/>
              <w:right w:val="single" w:sz="4" w:space="0" w:color="auto"/>
            </w:tcBorders>
            <w:vAlign w:val="center"/>
            <w:hideMark/>
          </w:tcPr>
          <w:p w14:paraId="075F6935"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Auxílio Moradia - RGPS</w:t>
            </w:r>
          </w:p>
        </w:tc>
        <w:tc>
          <w:tcPr>
            <w:tcW w:w="1934" w:type="dxa"/>
            <w:tcBorders>
              <w:top w:val="nil"/>
              <w:left w:val="nil"/>
              <w:bottom w:val="single" w:sz="4" w:space="0" w:color="auto"/>
              <w:right w:val="single" w:sz="4" w:space="0" w:color="auto"/>
            </w:tcBorders>
            <w:vAlign w:val="center"/>
            <w:hideMark/>
          </w:tcPr>
          <w:p w14:paraId="7253C3BC"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187.016,28 </w:t>
            </w:r>
          </w:p>
        </w:tc>
        <w:tc>
          <w:tcPr>
            <w:tcW w:w="0" w:type="auto"/>
            <w:tcBorders>
              <w:top w:val="nil"/>
              <w:left w:val="nil"/>
              <w:bottom w:val="single" w:sz="4" w:space="0" w:color="auto"/>
              <w:right w:val="single" w:sz="4" w:space="0" w:color="auto"/>
            </w:tcBorders>
            <w:vAlign w:val="center"/>
            <w:hideMark/>
          </w:tcPr>
          <w:p w14:paraId="1288E6F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27171B84"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08B7F3C7" w14:textId="400CF915"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r w:rsidR="00713094">
              <w:rPr>
                <w:rFonts w:ascii="Times New Roman" w:eastAsia="Times New Roman" w:hAnsi="Times New Roman" w:cs="Times New Roman"/>
                <w:color w:val="000000"/>
                <w:sz w:val="20"/>
                <w:szCs w:val="20"/>
                <w:lang w:eastAsia="pt-BR"/>
              </w:rPr>
              <w:t>5</w:t>
            </w:r>
          </w:p>
        </w:tc>
        <w:tc>
          <w:tcPr>
            <w:tcW w:w="0" w:type="auto"/>
            <w:tcBorders>
              <w:top w:val="nil"/>
              <w:left w:val="nil"/>
              <w:bottom w:val="single" w:sz="4" w:space="0" w:color="auto"/>
              <w:right w:val="single" w:sz="4" w:space="0" w:color="auto"/>
            </w:tcBorders>
            <w:vAlign w:val="center"/>
            <w:hideMark/>
          </w:tcPr>
          <w:p w14:paraId="140FC3A1"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313210600</w:t>
            </w:r>
          </w:p>
        </w:tc>
        <w:tc>
          <w:tcPr>
            <w:tcW w:w="4209" w:type="dxa"/>
            <w:tcBorders>
              <w:top w:val="nil"/>
              <w:left w:val="nil"/>
              <w:bottom w:val="single" w:sz="4" w:space="0" w:color="auto"/>
              <w:right w:val="single" w:sz="4" w:space="0" w:color="auto"/>
            </w:tcBorders>
            <w:vAlign w:val="center"/>
            <w:hideMark/>
          </w:tcPr>
          <w:p w14:paraId="3BD0C304"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Auxílio Creche</w:t>
            </w:r>
          </w:p>
        </w:tc>
        <w:tc>
          <w:tcPr>
            <w:tcW w:w="1934" w:type="dxa"/>
            <w:tcBorders>
              <w:top w:val="nil"/>
              <w:left w:val="nil"/>
              <w:bottom w:val="single" w:sz="4" w:space="0" w:color="auto"/>
              <w:right w:val="single" w:sz="4" w:space="0" w:color="auto"/>
            </w:tcBorders>
            <w:vAlign w:val="center"/>
            <w:hideMark/>
          </w:tcPr>
          <w:p w14:paraId="52D64DE3"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81.048,27 </w:t>
            </w:r>
          </w:p>
        </w:tc>
        <w:tc>
          <w:tcPr>
            <w:tcW w:w="0" w:type="auto"/>
            <w:tcBorders>
              <w:top w:val="nil"/>
              <w:left w:val="nil"/>
              <w:bottom w:val="single" w:sz="4" w:space="0" w:color="auto"/>
              <w:right w:val="single" w:sz="4" w:space="0" w:color="auto"/>
            </w:tcBorders>
            <w:vAlign w:val="center"/>
            <w:hideMark/>
          </w:tcPr>
          <w:p w14:paraId="0276EAB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42DF222B"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C8750CD" w14:textId="746E1588"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r w:rsidR="00713094">
              <w:rPr>
                <w:rFonts w:ascii="Times New Roman" w:eastAsia="Times New Roman" w:hAnsi="Times New Roman" w:cs="Times New Roman"/>
                <w:color w:val="000000"/>
                <w:sz w:val="20"/>
                <w:szCs w:val="20"/>
                <w:lang w:eastAsia="pt-BR"/>
              </w:rPr>
              <w:t>6</w:t>
            </w:r>
          </w:p>
        </w:tc>
        <w:tc>
          <w:tcPr>
            <w:tcW w:w="0" w:type="auto"/>
            <w:tcBorders>
              <w:top w:val="nil"/>
              <w:left w:val="nil"/>
              <w:bottom w:val="single" w:sz="4" w:space="0" w:color="auto"/>
              <w:right w:val="single" w:sz="4" w:space="0" w:color="auto"/>
            </w:tcBorders>
            <w:vAlign w:val="center"/>
            <w:hideMark/>
          </w:tcPr>
          <w:p w14:paraId="2E339BA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319110100</w:t>
            </w:r>
          </w:p>
        </w:tc>
        <w:tc>
          <w:tcPr>
            <w:tcW w:w="4209" w:type="dxa"/>
            <w:tcBorders>
              <w:top w:val="nil"/>
              <w:left w:val="nil"/>
              <w:bottom w:val="single" w:sz="4" w:space="0" w:color="auto"/>
              <w:right w:val="single" w:sz="4" w:space="0" w:color="auto"/>
            </w:tcBorders>
            <w:vAlign w:val="center"/>
            <w:hideMark/>
          </w:tcPr>
          <w:p w14:paraId="0CE6D43F"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Indenizações e Restituições Trabalhistas</w:t>
            </w:r>
          </w:p>
        </w:tc>
        <w:tc>
          <w:tcPr>
            <w:tcW w:w="1934" w:type="dxa"/>
            <w:tcBorders>
              <w:top w:val="nil"/>
              <w:left w:val="nil"/>
              <w:bottom w:val="single" w:sz="4" w:space="0" w:color="auto"/>
              <w:right w:val="single" w:sz="4" w:space="0" w:color="auto"/>
            </w:tcBorders>
            <w:vAlign w:val="center"/>
            <w:hideMark/>
          </w:tcPr>
          <w:p w14:paraId="0E693D6C"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13.923.836,37 </w:t>
            </w:r>
          </w:p>
        </w:tc>
        <w:tc>
          <w:tcPr>
            <w:tcW w:w="0" w:type="auto"/>
            <w:tcBorders>
              <w:top w:val="nil"/>
              <w:left w:val="nil"/>
              <w:bottom w:val="single" w:sz="4" w:space="0" w:color="auto"/>
              <w:right w:val="single" w:sz="4" w:space="0" w:color="auto"/>
            </w:tcBorders>
            <w:vAlign w:val="center"/>
            <w:hideMark/>
          </w:tcPr>
          <w:p w14:paraId="7666051D"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409BCBCE"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052EB68C" w14:textId="42EAEB41"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r w:rsidR="00713094">
              <w:rPr>
                <w:rFonts w:ascii="Times New Roman" w:eastAsia="Times New Roman" w:hAnsi="Times New Roman" w:cs="Times New Roman"/>
                <w:color w:val="000000"/>
                <w:sz w:val="20"/>
                <w:szCs w:val="20"/>
                <w:lang w:eastAsia="pt-BR"/>
              </w:rPr>
              <w:t>7</w:t>
            </w:r>
          </w:p>
        </w:tc>
        <w:tc>
          <w:tcPr>
            <w:tcW w:w="0" w:type="auto"/>
            <w:tcBorders>
              <w:top w:val="nil"/>
              <w:left w:val="nil"/>
              <w:bottom w:val="single" w:sz="4" w:space="0" w:color="auto"/>
              <w:right w:val="single" w:sz="4" w:space="0" w:color="auto"/>
            </w:tcBorders>
            <w:vAlign w:val="center"/>
            <w:hideMark/>
          </w:tcPr>
          <w:p w14:paraId="6C1DD40D"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319210100</w:t>
            </w:r>
          </w:p>
        </w:tc>
        <w:tc>
          <w:tcPr>
            <w:tcW w:w="4209" w:type="dxa"/>
            <w:tcBorders>
              <w:top w:val="nil"/>
              <w:left w:val="nil"/>
              <w:bottom w:val="single" w:sz="4" w:space="0" w:color="auto"/>
              <w:right w:val="single" w:sz="4" w:space="0" w:color="auto"/>
            </w:tcBorders>
            <w:vAlign w:val="center"/>
            <w:hideMark/>
          </w:tcPr>
          <w:p w14:paraId="4F5CE398"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 Requisitado de Outros Órgãos</w:t>
            </w:r>
          </w:p>
        </w:tc>
        <w:tc>
          <w:tcPr>
            <w:tcW w:w="1934" w:type="dxa"/>
            <w:tcBorders>
              <w:top w:val="nil"/>
              <w:left w:val="nil"/>
              <w:bottom w:val="single" w:sz="4" w:space="0" w:color="auto"/>
              <w:right w:val="single" w:sz="4" w:space="0" w:color="auto"/>
            </w:tcBorders>
            <w:vAlign w:val="center"/>
            <w:hideMark/>
          </w:tcPr>
          <w:p w14:paraId="39941536"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683.390,37 </w:t>
            </w:r>
          </w:p>
        </w:tc>
        <w:tc>
          <w:tcPr>
            <w:tcW w:w="0" w:type="auto"/>
            <w:tcBorders>
              <w:top w:val="nil"/>
              <w:left w:val="nil"/>
              <w:bottom w:val="single" w:sz="4" w:space="0" w:color="auto"/>
              <w:right w:val="single" w:sz="4" w:space="0" w:color="auto"/>
            </w:tcBorders>
            <w:vAlign w:val="center"/>
            <w:hideMark/>
          </w:tcPr>
          <w:p w14:paraId="00FE8E0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1F082900"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3E68431" w14:textId="19BD4830"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r w:rsidR="00713094">
              <w:rPr>
                <w:rFonts w:ascii="Times New Roman" w:eastAsia="Times New Roman" w:hAnsi="Times New Roman" w:cs="Times New Roman"/>
                <w:color w:val="000000"/>
                <w:sz w:val="20"/>
                <w:szCs w:val="20"/>
                <w:lang w:eastAsia="pt-BR"/>
              </w:rPr>
              <w:t>8</w:t>
            </w:r>
          </w:p>
        </w:tc>
        <w:tc>
          <w:tcPr>
            <w:tcW w:w="0" w:type="auto"/>
            <w:tcBorders>
              <w:top w:val="nil"/>
              <w:left w:val="nil"/>
              <w:bottom w:val="single" w:sz="4" w:space="0" w:color="auto"/>
              <w:right w:val="single" w:sz="4" w:space="0" w:color="auto"/>
            </w:tcBorders>
            <w:vAlign w:val="center"/>
            <w:hideMark/>
          </w:tcPr>
          <w:p w14:paraId="2D6A0F63"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319240100</w:t>
            </w:r>
          </w:p>
        </w:tc>
        <w:tc>
          <w:tcPr>
            <w:tcW w:w="4209" w:type="dxa"/>
            <w:tcBorders>
              <w:top w:val="nil"/>
              <w:left w:val="nil"/>
              <w:bottom w:val="single" w:sz="4" w:space="0" w:color="auto"/>
              <w:right w:val="single" w:sz="4" w:space="0" w:color="auto"/>
            </w:tcBorders>
            <w:vAlign w:val="center"/>
            <w:hideMark/>
          </w:tcPr>
          <w:p w14:paraId="58DD1CA9"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 Requisitado de Outros Entes</w:t>
            </w:r>
          </w:p>
        </w:tc>
        <w:tc>
          <w:tcPr>
            <w:tcW w:w="1934" w:type="dxa"/>
            <w:tcBorders>
              <w:top w:val="nil"/>
              <w:left w:val="nil"/>
              <w:bottom w:val="single" w:sz="4" w:space="0" w:color="auto"/>
              <w:right w:val="single" w:sz="4" w:space="0" w:color="auto"/>
            </w:tcBorders>
            <w:vAlign w:val="center"/>
            <w:hideMark/>
          </w:tcPr>
          <w:p w14:paraId="35A1551D"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1.457.375,90 </w:t>
            </w:r>
          </w:p>
        </w:tc>
        <w:tc>
          <w:tcPr>
            <w:tcW w:w="0" w:type="auto"/>
            <w:tcBorders>
              <w:top w:val="nil"/>
              <w:left w:val="nil"/>
              <w:bottom w:val="single" w:sz="4" w:space="0" w:color="auto"/>
              <w:right w:val="single" w:sz="4" w:space="0" w:color="auto"/>
            </w:tcBorders>
            <w:vAlign w:val="center"/>
            <w:hideMark/>
          </w:tcPr>
          <w:p w14:paraId="094B0B9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59B52447"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7199E9F" w14:textId="145178CA"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w:t>
            </w:r>
            <w:r w:rsidR="00713094">
              <w:rPr>
                <w:rFonts w:ascii="Times New Roman" w:eastAsia="Times New Roman" w:hAnsi="Times New Roman" w:cs="Times New Roman"/>
                <w:color w:val="000000"/>
                <w:sz w:val="20"/>
                <w:szCs w:val="20"/>
                <w:lang w:eastAsia="pt-BR"/>
              </w:rPr>
              <w:t>9</w:t>
            </w:r>
          </w:p>
        </w:tc>
        <w:tc>
          <w:tcPr>
            <w:tcW w:w="0" w:type="auto"/>
            <w:tcBorders>
              <w:top w:val="nil"/>
              <w:left w:val="nil"/>
              <w:bottom w:val="single" w:sz="4" w:space="0" w:color="auto"/>
              <w:right w:val="single" w:sz="4" w:space="0" w:color="auto"/>
            </w:tcBorders>
            <w:vAlign w:val="center"/>
            <w:hideMark/>
          </w:tcPr>
          <w:p w14:paraId="4CE70763"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319250100</w:t>
            </w:r>
          </w:p>
        </w:tc>
        <w:tc>
          <w:tcPr>
            <w:tcW w:w="4209" w:type="dxa"/>
            <w:tcBorders>
              <w:top w:val="nil"/>
              <w:left w:val="nil"/>
              <w:bottom w:val="single" w:sz="4" w:space="0" w:color="auto"/>
              <w:right w:val="single" w:sz="4" w:space="0" w:color="auto"/>
            </w:tcBorders>
            <w:vAlign w:val="center"/>
            <w:hideMark/>
          </w:tcPr>
          <w:p w14:paraId="561341B2"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 Requisitado de Outros Entes</w:t>
            </w:r>
          </w:p>
        </w:tc>
        <w:tc>
          <w:tcPr>
            <w:tcW w:w="1934" w:type="dxa"/>
            <w:tcBorders>
              <w:top w:val="nil"/>
              <w:left w:val="nil"/>
              <w:bottom w:val="single" w:sz="4" w:space="0" w:color="auto"/>
              <w:right w:val="single" w:sz="4" w:space="0" w:color="auto"/>
            </w:tcBorders>
            <w:vAlign w:val="center"/>
            <w:hideMark/>
          </w:tcPr>
          <w:p w14:paraId="3BCC369C"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3.862.121,38 </w:t>
            </w:r>
          </w:p>
        </w:tc>
        <w:tc>
          <w:tcPr>
            <w:tcW w:w="0" w:type="auto"/>
            <w:tcBorders>
              <w:top w:val="nil"/>
              <w:left w:val="nil"/>
              <w:bottom w:val="single" w:sz="4" w:space="0" w:color="auto"/>
              <w:right w:val="single" w:sz="4" w:space="0" w:color="auto"/>
            </w:tcBorders>
            <w:vAlign w:val="center"/>
            <w:hideMark/>
          </w:tcPr>
          <w:p w14:paraId="2457DC8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710A40E3"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53D98D4" w14:textId="1EF5553A" w:rsidR="00634ADA" w:rsidRPr="00634ADA" w:rsidRDefault="00713094" w:rsidP="00634ADA">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50</w:t>
            </w:r>
          </w:p>
        </w:tc>
        <w:tc>
          <w:tcPr>
            <w:tcW w:w="0" w:type="auto"/>
            <w:tcBorders>
              <w:top w:val="nil"/>
              <w:left w:val="nil"/>
              <w:bottom w:val="single" w:sz="4" w:space="0" w:color="auto"/>
              <w:right w:val="single" w:sz="4" w:space="0" w:color="auto"/>
            </w:tcBorders>
            <w:vAlign w:val="center"/>
            <w:hideMark/>
          </w:tcPr>
          <w:p w14:paraId="771CB91B"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321110200</w:t>
            </w:r>
          </w:p>
        </w:tc>
        <w:tc>
          <w:tcPr>
            <w:tcW w:w="4209" w:type="dxa"/>
            <w:tcBorders>
              <w:top w:val="nil"/>
              <w:left w:val="nil"/>
              <w:bottom w:val="single" w:sz="4" w:space="0" w:color="auto"/>
              <w:right w:val="single" w:sz="4" w:space="0" w:color="auto"/>
            </w:tcBorders>
            <w:vAlign w:val="center"/>
            <w:hideMark/>
          </w:tcPr>
          <w:p w14:paraId="23F63493"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 xml:space="preserve">Aposentadorias Pendentes de Aprovação </w:t>
            </w:r>
            <w:proofErr w:type="spellStart"/>
            <w:r w:rsidRPr="00634ADA">
              <w:rPr>
                <w:rFonts w:ascii="Times New Roman" w:eastAsia="Times New Roman" w:hAnsi="Times New Roman" w:cs="Times New Roman"/>
                <w:color w:val="000000"/>
                <w:sz w:val="20"/>
                <w:szCs w:val="20"/>
                <w:lang w:eastAsia="pt-BR"/>
              </w:rPr>
              <w:t>Pes</w:t>
            </w:r>
            <w:proofErr w:type="spellEnd"/>
            <w:r w:rsidRPr="00634ADA">
              <w:rPr>
                <w:rFonts w:ascii="Times New Roman" w:eastAsia="Times New Roman" w:hAnsi="Times New Roman" w:cs="Times New Roman"/>
                <w:color w:val="000000"/>
                <w:sz w:val="20"/>
                <w:szCs w:val="20"/>
                <w:lang w:eastAsia="pt-BR"/>
              </w:rPr>
              <w:t xml:space="preserve"> </w:t>
            </w:r>
            <w:proofErr w:type="spellStart"/>
            <w:r w:rsidRPr="00634ADA">
              <w:rPr>
                <w:rFonts w:ascii="Times New Roman" w:eastAsia="Times New Roman" w:hAnsi="Times New Roman" w:cs="Times New Roman"/>
                <w:color w:val="000000"/>
                <w:sz w:val="20"/>
                <w:szCs w:val="20"/>
                <w:lang w:eastAsia="pt-BR"/>
              </w:rPr>
              <w:t>Civ</w:t>
            </w:r>
            <w:proofErr w:type="spellEnd"/>
          </w:p>
        </w:tc>
        <w:tc>
          <w:tcPr>
            <w:tcW w:w="1934" w:type="dxa"/>
            <w:tcBorders>
              <w:top w:val="nil"/>
              <w:left w:val="nil"/>
              <w:bottom w:val="single" w:sz="4" w:space="0" w:color="auto"/>
              <w:right w:val="single" w:sz="4" w:space="0" w:color="auto"/>
            </w:tcBorders>
            <w:vAlign w:val="center"/>
            <w:hideMark/>
          </w:tcPr>
          <w:p w14:paraId="374BB74E"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15.902.546,11 </w:t>
            </w:r>
          </w:p>
        </w:tc>
        <w:tc>
          <w:tcPr>
            <w:tcW w:w="0" w:type="auto"/>
            <w:tcBorders>
              <w:top w:val="nil"/>
              <w:left w:val="nil"/>
              <w:bottom w:val="single" w:sz="4" w:space="0" w:color="auto"/>
              <w:right w:val="single" w:sz="4" w:space="0" w:color="auto"/>
            </w:tcBorders>
            <w:vAlign w:val="center"/>
            <w:hideMark/>
          </w:tcPr>
          <w:p w14:paraId="6EC4053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5334444C"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168402C" w14:textId="7AF15D11"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r w:rsidR="00713094">
              <w:rPr>
                <w:rFonts w:ascii="Times New Roman" w:eastAsia="Times New Roman" w:hAnsi="Times New Roman" w:cs="Times New Roman"/>
                <w:color w:val="000000"/>
                <w:sz w:val="20"/>
                <w:szCs w:val="20"/>
                <w:lang w:eastAsia="pt-BR"/>
              </w:rPr>
              <w:t>1</w:t>
            </w:r>
          </w:p>
        </w:tc>
        <w:tc>
          <w:tcPr>
            <w:tcW w:w="0" w:type="auto"/>
            <w:tcBorders>
              <w:top w:val="nil"/>
              <w:left w:val="nil"/>
              <w:bottom w:val="single" w:sz="4" w:space="0" w:color="auto"/>
              <w:right w:val="single" w:sz="4" w:space="0" w:color="auto"/>
            </w:tcBorders>
            <w:vAlign w:val="center"/>
            <w:hideMark/>
          </w:tcPr>
          <w:p w14:paraId="0772ADA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321110300</w:t>
            </w:r>
          </w:p>
        </w:tc>
        <w:tc>
          <w:tcPr>
            <w:tcW w:w="4209" w:type="dxa"/>
            <w:tcBorders>
              <w:top w:val="nil"/>
              <w:left w:val="nil"/>
              <w:bottom w:val="single" w:sz="4" w:space="0" w:color="auto"/>
              <w:right w:val="single" w:sz="4" w:space="0" w:color="auto"/>
            </w:tcBorders>
            <w:vAlign w:val="center"/>
            <w:hideMark/>
          </w:tcPr>
          <w:p w14:paraId="557BC491"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Gratificações</w:t>
            </w:r>
          </w:p>
        </w:tc>
        <w:tc>
          <w:tcPr>
            <w:tcW w:w="1934" w:type="dxa"/>
            <w:tcBorders>
              <w:top w:val="nil"/>
              <w:left w:val="nil"/>
              <w:bottom w:val="single" w:sz="4" w:space="0" w:color="auto"/>
              <w:right w:val="single" w:sz="4" w:space="0" w:color="auto"/>
            </w:tcBorders>
            <w:vAlign w:val="center"/>
            <w:hideMark/>
          </w:tcPr>
          <w:p w14:paraId="0830C8AB"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3.573.623,63 </w:t>
            </w:r>
          </w:p>
        </w:tc>
        <w:tc>
          <w:tcPr>
            <w:tcW w:w="0" w:type="auto"/>
            <w:tcBorders>
              <w:top w:val="nil"/>
              <w:left w:val="nil"/>
              <w:bottom w:val="single" w:sz="4" w:space="0" w:color="auto"/>
              <w:right w:val="single" w:sz="4" w:space="0" w:color="auto"/>
            </w:tcBorders>
            <w:vAlign w:val="center"/>
            <w:hideMark/>
          </w:tcPr>
          <w:p w14:paraId="528F015E"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20860B30"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72CE696" w14:textId="5AD99A3A"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r w:rsidR="00713094">
              <w:rPr>
                <w:rFonts w:ascii="Times New Roman" w:eastAsia="Times New Roman" w:hAnsi="Times New Roman" w:cs="Times New Roman"/>
                <w:color w:val="000000"/>
                <w:sz w:val="20"/>
                <w:szCs w:val="20"/>
                <w:lang w:eastAsia="pt-BR"/>
              </w:rPr>
              <w:t>2</w:t>
            </w:r>
          </w:p>
        </w:tc>
        <w:tc>
          <w:tcPr>
            <w:tcW w:w="0" w:type="auto"/>
            <w:tcBorders>
              <w:top w:val="nil"/>
              <w:left w:val="nil"/>
              <w:bottom w:val="single" w:sz="4" w:space="0" w:color="auto"/>
              <w:right w:val="single" w:sz="4" w:space="0" w:color="auto"/>
            </w:tcBorders>
            <w:vAlign w:val="center"/>
            <w:hideMark/>
          </w:tcPr>
          <w:p w14:paraId="3096CD3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321110500</w:t>
            </w:r>
          </w:p>
        </w:tc>
        <w:tc>
          <w:tcPr>
            <w:tcW w:w="4209" w:type="dxa"/>
            <w:tcBorders>
              <w:top w:val="nil"/>
              <w:left w:val="nil"/>
              <w:bottom w:val="single" w:sz="4" w:space="0" w:color="auto"/>
              <w:right w:val="single" w:sz="4" w:space="0" w:color="auto"/>
            </w:tcBorders>
            <w:vAlign w:val="center"/>
            <w:hideMark/>
          </w:tcPr>
          <w:p w14:paraId="244B0D06"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13º Salário - Pessoal Civil16/91</w:t>
            </w:r>
          </w:p>
        </w:tc>
        <w:tc>
          <w:tcPr>
            <w:tcW w:w="1934" w:type="dxa"/>
            <w:tcBorders>
              <w:top w:val="nil"/>
              <w:left w:val="nil"/>
              <w:bottom w:val="single" w:sz="4" w:space="0" w:color="auto"/>
              <w:right w:val="single" w:sz="4" w:space="0" w:color="auto"/>
            </w:tcBorders>
            <w:vAlign w:val="center"/>
            <w:hideMark/>
          </w:tcPr>
          <w:p w14:paraId="6E3F5D71"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5.313.083,39 </w:t>
            </w:r>
          </w:p>
        </w:tc>
        <w:tc>
          <w:tcPr>
            <w:tcW w:w="0" w:type="auto"/>
            <w:tcBorders>
              <w:top w:val="nil"/>
              <w:left w:val="nil"/>
              <w:bottom w:val="single" w:sz="4" w:space="0" w:color="auto"/>
              <w:right w:val="single" w:sz="4" w:space="0" w:color="auto"/>
            </w:tcBorders>
            <w:vAlign w:val="center"/>
            <w:hideMark/>
          </w:tcPr>
          <w:p w14:paraId="0FF0B61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706E436D"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167F5D2" w14:textId="0971C122"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r w:rsidR="00713094">
              <w:rPr>
                <w:rFonts w:ascii="Times New Roman" w:eastAsia="Times New Roman" w:hAnsi="Times New Roman" w:cs="Times New Roman"/>
                <w:color w:val="000000"/>
                <w:sz w:val="20"/>
                <w:szCs w:val="20"/>
                <w:lang w:eastAsia="pt-BR"/>
              </w:rPr>
              <w:t>3</w:t>
            </w:r>
          </w:p>
        </w:tc>
        <w:tc>
          <w:tcPr>
            <w:tcW w:w="0" w:type="auto"/>
            <w:tcBorders>
              <w:top w:val="nil"/>
              <w:left w:val="nil"/>
              <w:bottom w:val="single" w:sz="4" w:space="0" w:color="auto"/>
              <w:right w:val="single" w:sz="4" w:space="0" w:color="auto"/>
            </w:tcBorders>
            <w:vAlign w:val="center"/>
            <w:hideMark/>
          </w:tcPr>
          <w:p w14:paraId="1C4E5AC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321110600</w:t>
            </w:r>
          </w:p>
        </w:tc>
        <w:tc>
          <w:tcPr>
            <w:tcW w:w="4209" w:type="dxa"/>
            <w:tcBorders>
              <w:top w:val="nil"/>
              <w:left w:val="nil"/>
              <w:bottom w:val="single" w:sz="4" w:space="0" w:color="auto"/>
              <w:right w:val="single" w:sz="4" w:space="0" w:color="auto"/>
            </w:tcBorders>
            <w:vAlign w:val="center"/>
            <w:hideMark/>
          </w:tcPr>
          <w:p w14:paraId="04FD1D79"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Licença Prêmio para Inativo Civil</w:t>
            </w:r>
          </w:p>
        </w:tc>
        <w:tc>
          <w:tcPr>
            <w:tcW w:w="1934" w:type="dxa"/>
            <w:tcBorders>
              <w:top w:val="nil"/>
              <w:left w:val="nil"/>
              <w:bottom w:val="single" w:sz="4" w:space="0" w:color="auto"/>
              <w:right w:val="single" w:sz="4" w:space="0" w:color="auto"/>
            </w:tcBorders>
            <w:vAlign w:val="center"/>
            <w:hideMark/>
          </w:tcPr>
          <w:p w14:paraId="7D605FA1"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390.046,64 </w:t>
            </w:r>
          </w:p>
        </w:tc>
        <w:tc>
          <w:tcPr>
            <w:tcW w:w="0" w:type="auto"/>
            <w:tcBorders>
              <w:top w:val="nil"/>
              <w:left w:val="nil"/>
              <w:bottom w:val="single" w:sz="4" w:space="0" w:color="auto"/>
              <w:right w:val="single" w:sz="4" w:space="0" w:color="auto"/>
            </w:tcBorders>
            <w:vAlign w:val="center"/>
            <w:hideMark/>
          </w:tcPr>
          <w:p w14:paraId="754197ED"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04769B5E"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11D8ED4" w14:textId="7C19A196"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r w:rsidR="00713094">
              <w:rPr>
                <w:rFonts w:ascii="Times New Roman" w:eastAsia="Times New Roman" w:hAnsi="Times New Roman" w:cs="Times New Roman"/>
                <w:color w:val="000000"/>
                <w:sz w:val="20"/>
                <w:szCs w:val="20"/>
                <w:lang w:eastAsia="pt-BR"/>
              </w:rPr>
              <w:t>4</w:t>
            </w:r>
          </w:p>
        </w:tc>
        <w:tc>
          <w:tcPr>
            <w:tcW w:w="0" w:type="auto"/>
            <w:tcBorders>
              <w:top w:val="nil"/>
              <w:left w:val="nil"/>
              <w:bottom w:val="single" w:sz="4" w:space="0" w:color="auto"/>
              <w:right w:val="single" w:sz="4" w:space="0" w:color="auto"/>
            </w:tcBorders>
            <w:vAlign w:val="center"/>
            <w:hideMark/>
          </w:tcPr>
          <w:p w14:paraId="75FD39F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321110900</w:t>
            </w:r>
          </w:p>
        </w:tc>
        <w:tc>
          <w:tcPr>
            <w:tcW w:w="4209" w:type="dxa"/>
            <w:tcBorders>
              <w:top w:val="nil"/>
              <w:left w:val="nil"/>
              <w:bottom w:val="single" w:sz="4" w:space="0" w:color="auto"/>
              <w:right w:val="single" w:sz="4" w:space="0" w:color="auto"/>
            </w:tcBorders>
            <w:vAlign w:val="center"/>
            <w:hideMark/>
          </w:tcPr>
          <w:p w14:paraId="0EA4FE71"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Sentenças Judiciais - Aposentadorias RPPS</w:t>
            </w:r>
          </w:p>
        </w:tc>
        <w:tc>
          <w:tcPr>
            <w:tcW w:w="1934" w:type="dxa"/>
            <w:tcBorders>
              <w:top w:val="nil"/>
              <w:left w:val="nil"/>
              <w:bottom w:val="single" w:sz="4" w:space="0" w:color="auto"/>
              <w:right w:val="single" w:sz="4" w:space="0" w:color="auto"/>
            </w:tcBorders>
            <w:vAlign w:val="center"/>
            <w:hideMark/>
          </w:tcPr>
          <w:p w14:paraId="6AC1DC89"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483.602,14 </w:t>
            </w:r>
          </w:p>
        </w:tc>
        <w:tc>
          <w:tcPr>
            <w:tcW w:w="0" w:type="auto"/>
            <w:tcBorders>
              <w:top w:val="nil"/>
              <w:left w:val="nil"/>
              <w:bottom w:val="single" w:sz="4" w:space="0" w:color="auto"/>
              <w:right w:val="single" w:sz="4" w:space="0" w:color="auto"/>
            </w:tcBorders>
            <w:vAlign w:val="center"/>
            <w:hideMark/>
          </w:tcPr>
          <w:p w14:paraId="2A36696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240F49AD"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5331DCB" w14:textId="351AC54F"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r w:rsidR="00713094">
              <w:rPr>
                <w:rFonts w:ascii="Times New Roman" w:eastAsia="Times New Roman" w:hAnsi="Times New Roman" w:cs="Times New Roman"/>
                <w:color w:val="000000"/>
                <w:sz w:val="20"/>
                <w:szCs w:val="20"/>
                <w:lang w:eastAsia="pt-BR"/>
              </w:rPr>
              <w:t>5</w:t>
            </w:r>
          </w:p>
        </w:tc>
        <w:tc>
          <w:tcPr>
            <w:tcW w:w="0" w:type="auto"/>
            <w:tcBorders>
              <w:top w:val="nil"/>
              <w:left w:val="nil"/>
              <w:bottom w:val="single" w:sz="4" w:space="0" w:color="auto"/>
              <w:right w:val="single" w:sz="4" w:space="0" w:color="auto"/>
            </w:tcBorders>
            <w:vAlign w:val="center"/>
            <w:hideMark/>
          </w:tcPr>
          <w:p w14:paraId="250ADAE0"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321111200</w:t>
            </w:r>
          </w:p>
        </w:tc>
        <w:tc>
          <w:tcPr>
            <w:tcW w:w="4209" w:type="dxa"/>
            <w:tcBorders>
              <w:top w:val="nil"/>
              <w:left w:val="nil"/>
              <w:bottom w:val="single" w:sz="4" w:space="0" w:color="auto"/>
              <w:right w:val="single" w:sz="4" w:space="0" w:color="auto"/>
            </w:tcBorders>
            <w:vAlign w:val="center"/>
            <w:hideMark/>
          </w:tcPr>
          <w:p w14:paraId="2C7B8CF5" w14:textId="0C0A1FD8"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13º Salário - Pessoal Civil (</w:t>
            </w:r>
            <w:proofErr w:type="spellStart"/>
            <w:r w:rsidRPr="00634ADA">
              <w:rPr>
                <w:rFonts w:ascii="Times New Roman" w:eastAsia="Times New Roman" w:hAnsi="Times New Roman" w:cs="Times New Roman"/>
                <w:color w:val="000000"/>
                <w:sz w:val="20"/>
                <w:szCs w:val="20"/>
                <w:lang w:eastAsia="pt-BR"/>
              </w:rPr>
              <w:t>pend</w:t>
            </w:r>
            <w:proofErr w:type="spellEnd"/>
            <w:r w:rsidR="000A2FC3">
              <w:rPr>
                <w:rFonts w:ascii="Times New Roman" w:eastAsia="Times New Roman" w:hAnsi="Times New Roman" w:cs="Times New Roman"/>
                <w:color w:val="000000"/>
                <w:sz w:val="20"/>
                <w:szCs w:val="20"/>
                <w:lang w:eastAsia="pt-BR"/>
              </w:rPr>
              <w:t>.</w:t>
            </w:r>
            <w:r w:rsidRPr="00634ADA">
              <w:rPr>
                <w:rFonts w:ascii="Times New Roman" w:eastAsia="Times New Roman" w:hAnsi="Times New Roman" w:cs="Times New Roman"/>
                <w:color w:val="000000"/>
                <w:sz w:val="20"/>
                <w:szCs w:val="20"/>
                <w:lang w:eastAsia="pt-BR"/>
              </w:rPr>
              <w:t xml:space="preserve"> </w:t>
            </w:r>
            <w:proofErr w:type="spellStart"/>
            <w:r w:rsidRPr="00634ADA">
              <w:rPr>
                <w:rFonts w:ascii="Times New Roman" w:eastAsia="Times New Roman" w:hAnsi="Times New Roman" w:cs="Times New Roman"/>
                <w:color w:val="000000"/>
                <w:sz w:val="20"/>
                <w:szCs w:val="20"/>
                <w:lang w:eastAsia="pt-BR"/>
              </w:rPr>
              <w:t>Aprov</w:t>
            </w:r>
            <w:proofErr w:type="spellEnd"/>
            <w:r w:rsidR="000A2FC3">
              <w:rPr>
                <w:rFonts w:ascii="Times New Roman" w:eastAsia="Times New Roman" w:hAnsi="Times New Roman" w:cs="Times New Roman"/>
                <w:color w:val="000000"/>
                <w:sz w:val="20"/>
                <w:szCs w:val="20"/>
                <w:lang w:eastAsia="pt-BR"/>
              </w:rPr>
              <w:t>.</w:t>
            </w:r>
            <w:r w:rsidRPr="00634ADA">
              <w:rPr>
                <w:rFonts w:ascii="Times New Roman" w:eastAsia="Times New Roman" w:hAnsi="Times New Roman" w:cs="Times New Roman"/>
                <w:color w:val="000000"/>
                <w:sz w:val="20"/>
                <w:szCs w:val="20"/>
                <w:lang w:eastAsia="pt-BR"/>
              </w:rPr>
              <w:t xml:space="preserve"> </w:t>
            </w:r>
            <w:proofErr w:type="spellStart"/>
            <w:r w:rsidRPr="00634ADA">
              <w:rPr>
                <w:rFonts w:ascii="Times New Roman" w:eastAsia="Times New Roman" w:hAnsi="Times New Roman" w:cs="Times New Roman"/>
                <w:color w:val="000000"/>
                <w:sz w:val="20"/>
                <w:szCs w:val="20"/>
                <w:lang w:eastAsia="pt-BR"/>
              </w:rPr>
              <w:t>Tcu</w:t>
            </w:r>
            <w:proofErr w:type="spellEnd"/>
            <w:r w:rsidRPr="00634ADA">
              <w:rPr>
                <w:rFonts w:ascii="Times New Roman" w:eastAsia="Times New Roman" w:hAnsi="Times New Roman" w:cs="Times New Roman"/>
                <w:color w:val="000000"/>
                <w:sz w:val="20"/>
                <w:szCs w:val="20"/>
                <w:lang w:eastAsia="pt-BR"/>
              </w:rPr>
              <w:t>)</w:t>
            </w:r>
          </w:p>
        </w:tc>
        <w:tc>
          <w:tcPr>
            <w:tcW w:w="1934" w:type="dxa"/>
            <w:tcBorders>
              <w:top w:val="nil"/>
              <w:left w:val="nil"/>
              <w:bottom w:val="single" w:sz="4" w:space="0" w:color="auto"/>
              <w:right w:val="single" w:sz="4" w:space="0" w:color="auto"/>
            </w:tcBorders>
            <w:vAlign w:val="center"/>
            <w:hideMark/>
          </w:tcPr>
          <w:p w14:paraId="1ADB54B8"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1.317.259,15 </w:t>
            </w:r>
          </w:p>
        </w:tc>
        <w:tc>
          <w:tcPr>
            <w:tcW w:w="0" w:type="auto"/>
            <w:tcBorders>
              <w:top w:val="nil"/>
              <w:left w:val="nil"/>
              <w:bottom w:val="single" w:sz="4" w:space="0" w:color="auto"/>
              <w:right w:val="single" w:sz="4" w:space="0" w:color="auto"/>
            </w:tcBorders>
            <w:vAlign w:val="center"/>
            <w:hideMark/>
          </w:tcPr>
          <w:p w14:paraId="6B4DD5C8"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1F1E50C2"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798A3A9A" w14:textId="0DFF9930"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r w:rsidR="00713094">
              <w:rPr>
                <w:rFonts w:ascii="Times New Roman" w:eastAsia="Times New Roman" w:hAnsi="Times New Roman" w:cs="Times New Roman"/>
                <w:color w:val="000000"/>
                <w:sz w:val="20"/>
                <w:szCs w:val="20"/>
                <w:lang w:eastAsia="pt-BR"/>
              </w:rPr>
              <w:t>6</w:t>
            </w:r>
          </w:p>
        </w:tc>
        <w:tc>
          <w:tcPr>
            <w:tcW w:w="0" w:type="auto"/>
            <w:tcBorders>
              <w:top w:val="nil"/>
              <w:left w:val="nil"/>
              <w:bottom w:val="single" w:sz="4" w:space="0" w:color="auto"/>
              <w:right w:val="single" w:sz="4" w:space="0" w:color="auto"/>
            </w:tcBorders>
            <w:vAlign w:val="center"/>
            <w:hideMark/>
          </w:tcPr>
          <w:p w14:paraId="46F70E18"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322110100</w:t>
            </w:r>
          </w:p>
        </w:tc>
        <w:tc>
          <w:tcPr>
            <w:tcW w:w="4209" w:type="dxa"/>
            <w:tcBorders>
              <w:top w:val="nil"/>
              <w:left w:val="nil"/>
              <w:bottom w:val="single" w:sz="4" w:space="0" w:color="auto"/>
              <w:right w:val="single" w:sz="4" w:space="0" w:color="auto"/>
            </w:tcBorders>
            <w:vAlign w:val="center"/>
            <w:hideMark/>
          </w:tcPr>
          <w:p w14:paraId="0EE49B25"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Pensões Civis</w:t>
            </w:r>
          </w:p>
        </w:tc>
        <w:tc>
          <w:tcPr>
            <w:tcW w:w="1934" w:type="dxa"/>
            <w:tcBorders>
              <w:top w:val="nil"/>
              <w:left w:val="nil"/>
              <w:bottom w:val="single" w:sz="4" w:space="0" w:color="auto"/>
              <w:right w:val="single" w:sz="4" w:space="0" w:color="auto"/>
            </w:tcBorders>
            <w:vAlign w:val="center"/>
            <w:hideMark/>
          </w:tcPr>
          <w:p w14:paraId="7320878C"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11.764.914,72 </w:t>
            </w:r>
          </w:p>
        </w:tc>
        <w:tc>
          <w:tcPr>
            <w:tcW w:w="0" w:type="auto"/>
            <w:tcBorders>
              <w:top w:val="nil"/>
              <w:left w:val="nil"/>
              <w:bottom w:val="single" w:sz="4" w:space="0" w:color="auto"/>
              <w:right w:val="single" w:sz="4" w:space="0" w:color="auto"/>
            </w:tcBorders>
            <w:vAlign w:val="center"/>
            <w:hideMark/>
          </w:tcPr>
          <w:p w14:paraId="41FCED09"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7D34A06C"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690CD7D3" w14:textId="3DC918F9"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r w:rsidR="00713094">
              <w:rPr>
                <w:rFonts w:ascii="Times New Roman" w:eastAsia="Times New Roman" w:hAnsi="Times New Roman" w:cs="Times New Roman"/>
                <w:color w:val="000000"/>
                <w:sz w:val="20"/>
                <w:szCs w:val="20"/>
                <w:lang w:eastAsia="pt-BR"/>
              </w:rPr>
              <w:t>7</w:t>
            </w:r>
          </w:p>
        </w:tc>
        <w:tc>
          <w:tcPr>
            <w:tcW w:w="0" w:type="auto"/>
            <w:tcBorders>
              <w:top w:val="nil"/>
              <w:left w:val="nil"/>
              <w:bottom w:val="single" w:sz="4" w:space="0" w:color="auto"/>
              <w:right w:val="single" w:sz="4" w:space="0" w:color="auto"/>
            </w:tcBorders>
            <w:vAlign w:val="center"/>
            <w:hideMark/>
          </w:tcPr>
          <w:p w14:paraId="2CC0A015"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322110200</w:t>
            </w:r>
          </w:p>
        </w:tc>
        <w:tc>
          <w:tcPr>
            <w:tcW w:w="4209" w:type="dxa"/>
            <w:tcBorders>
              <w:top w:val="nil"/>
              <w:left w:val="nil"/>
              <w:bottom w:val="single" w:sz="4" w:space="0" w:color="auto"/>
              <w:right w:val="single" w:sz="4" w:space="0" w:color="auto"/>
            </w:tcBorders>
            <w:vAlign w:val="center"/>
            <w:hideMark/>
          </w:tcPr>
          <w:p w14:paraId="74CA04B7"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13º Salário - Pessoal Civil - Pensionistas</w:t>
            </w:r>
          </w:p>
        </w:tc>
        <w:tc>
          <w:tcPr>
            <w:tcW w:w="1934" w:type="dxa"/>
            <w:tcBorders>
              <w:top w:val="nil"/>
              <w:left w:val="nil"/>
              <w:bottom w:val="single" w:sz="4" w:space="0" w:color="auto"/>
              <w:right w:val="single" w:sz="4" w:space="0" w:color="auto"/>
            </w:tcBorders>
            <w:vAlign w:val="center"/>
            <w:hideMark/>
          </w:tcPr>
          <w:p w14:paraId="0523DE7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974.207,71 </w:t>
            </w:r>
          </w:p>
        </w:tc>
        <w:tc>
          <w:tcPr>
            <w:tcW w:w="0" w:type="auto"/>
            <w:tcBorders>
              <w:top w:val="nil"/>
              <w:left w:val="nil"/>
              <w:bottom w:val="single" w:sz="4" w:space="0" w:color="auto"/>
              <w:right w:val="single" w:sz="4" w:space="0" w:color="auto"/>
            </w:tcBorders>
            <w:vAlign w:val="center"/>
            <w:hideMark/>
          </w:tcPr>
          <w:p w14:paraId="4C192F33"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33D350D7"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66FB5AD3" w14:textId="50854B24"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r w:rsidR="00713094">
              <w:rPr>
                <w:rFonts w:ascii="Times New Roman" w:eastAsia="Times New Roman" w:hAnsi="Times New Roman" w:cs="Times New Roman"/>
                <w:color w:val="000000"/>
                <w:sz w:val="20"/>
                <w:szCs w:val="20"/>
                <w:lang w:eastAsia="pt-BR"/>
              </w:rPr>
              <w:t>8</w:t>
            </w:r>
          </w:p>
        </w:tc>
        <w:tc>
          <w:tcPr>
            <w:tcW w:w="0" w:type="auto"/>
            <w:tcBorders>
              <w:top w:val="nil"/>
              <w:left w:val="nil"/>
              <w:bottom w:val="single" w:sz="4" w:space="0" w:color="auto"/>
              <w:right w:val="single" w:sz="4" w:space="0" w:color="auto"/>
            </w:tcBorders>
            <w:vAlign w:val="center"/>
            <w:hideMark/>
          </w:tcPr>
          <w:p w14:paraId="53D839C7"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322110400</w:t>
            </w:r>
          </w:p>
        </w:tc>
        <w:tc>
          <w:tcPr>
            <w:tcW w:w="4209" w:type="dxa"/>
            <w:tcBorders>
              <w:top w:val="nil"/>
              <w:left w:val="nil"/>
              <w:bottom w:val="single" w:sz="4" w:space="0" w:color="auto"/>
              <w:right w:val="single" w:sz="4" w:space="0" w:color="auto"/>
            </w:tcBorders>
            <w:vAlign w:val="center"/>
            <w:hideMark/>
          </w:tcPr>
          <w:p w14:paraId="292D5B11"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Licença-prêmio para Pensionista Civil</w:t>
            </w:r>
          </w:p>
        </w:tc>
        <w:tc>
          <w:tcPr>
            <w:tcW w:w="1934" w:type="dxa"/>
            <w:tcBorders>
              <w:top w:val="nil"/>
              <w:left w:val="nil"/>
              <w:bottom w:val="single" w:sz="4" w:space="0" w:color="auto"/>
              <w:right w:val="single" w:sz="4" w:space="0" w:color="auto"/>
            </w:tcBorders>
            <w:vAlign w:val="center"/>
            <w:hideMark/>
          </w:tcPr>
          <w:p w14:paraId="4C0B5180"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10.594,92 </w:t>
            </w:r>
          </w:p>
        </w:tc>
        <w:tc>
          <w:tcPr>
            <w:tcW w:w="0" w:type="auto"/>
            <w:tcBorders>
              <w:top w:val="nil"/>
              <w:left w:val="nil"/>
              <w:bottom w:val="single" w:sz="4" w:space="0" w:color="auto"/>
              <w:right w:val="single" w:sz="4" w:space="0" w:color="auto"/>
            </w:tcBorders>
            <w:vAlign w:val="center"/>
            <w:hideMark/>
          </w:tcPr>
          <w:p w14:paraId="6942696C"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7A5D3FEA"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CD12491" w14:textId="3F360D93"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w:t>
            </w:r>
            <w:r w:rsidR="00713094">
              <w:rPr>
                <w:rFonts w:ascii="Times New Roman" w:eastAsia="Times New Roman" w:hAnsi="Times New Roman" w:cs="Times New Roman"/>
                <w:color w:val="000000"/>
                <w:sz w:val="20"/>
                <w:szCs w:val="20"/>
                <w:lang w:eastAsia="pt-BR"/>
              </w:rPr>
              <w:t>9</w:t>
            </w:r>
          </w:p>
        </w:tc>
        <w:tc>
          <w:tcPr>
            <w:tcW w:w="0" w:type="auto"/>
            <w:tcBorders>
              <w:top w:val="nil"/>
              <w:left w:val="nil"/>
              <w:bottom w:val="single" w:sz="4" w:space="0" w:color="auto"/>
              <w:right w:val="single" w:sz="4" w:space="0" w:color="auto"/>
            </w:tcBorders>
            <w:vAlign w:val="center"/>
            <w:hideMark/>
          </w:tcPr>
          <w:p w14:paraId="0E74AE10"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322110900</w:t>
            </w:r>
          </w:p>
        </w:tc>
        <w:tc>
          <w:tcPr>
            <w:tcW w:w="4209" w:type="dxa"/>
            <w:tcBorders>
              <w:top w:val="nil"/>
              <w:left w:val="nil"/>
              <w:bottom w:val="single" w:sz="4" w:space="0" w:color="auto"/>
              <w:right w:val="single" w:sz="4" w:space="0" w:color="auto"/>
            </w:tcBorders>
            <w:vAlign w:val="center"/>
            <w:hideMark/>
          </w:tcPr>
          <w:p w14:paraId="2D46580E"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Sentenças Judiciais - Pensões RPPS</w:t>
            </w:r>
          </w:p>
        </w:tc>
        <w:tc>
          <w:tcPr>
            <w:tcW w:w="1934" w:type="dxa"/>
            <w:tcBorders>
              <w:top w:val="nil"/>
              <w:left w:val="nil"/>
              <w:bottom w:val="single" w:sz="4" w:space="0" w:color="auto"/>
              <w:right w:val="single" w:sz="4" w:space="0" w:color="auto"/>
            </w:tcBorders>
            <w:vAlign w:val="center"/>
            <w:hideMark/>
          </w:tcPr>
          <w:p w14:paraId="7EACEC6C"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521.537,65 </w:t>
            </w:r>
          </w:p>
        </w:tc>
        <w:tc>
          <w:tcPr>
            <w:tcW w:w="0" w:type="auto"/>
            <w:tcBorders>
              <w:top w:val="nil"/>
              <w:left w:val="nil"/>
              <w:bottom w:val="single" w:sz="4" w:space="0" w:color="auto"/>
              <w:right w:val="single" w:sz="4" w:space="0" w:color="auto"/>
            </w:tcBorders>
            <w:vAlign w:val="center"/>
            <w:hideMark/>
          </w:tcPr>
          <w:p w14:paraId="4AF6D52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49149E7A"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6669FE06" w14:textId="23C8CF2E" w:rsidR="00634ADA" w:rsidRPr="00634ADA" w:rsidRDefault="00713094" w:rsidP="00634ADA">
            <w:pPr>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60</w:t>
            </w:r>
          </w:p>
        </w:tc>
        <w:tc>
          <w:tcPr>
            <w:tcW w:w="0" w:type="auto"/>
            <w:tcBorders>
              <w:top w:val="nil"/>
              <w:left w:val="nil"/>
              <w:bottom w:val="single" w:sz="4" w:space="0" w:color="auto"/>
              <w:right w:val="single" w:sz="4" w:space="0" w:color="auto"/>
            </w:tcBorders>
            <w:vAlign w:val="center"/>
            <w:hideMark/>
          </w:tcPr>
          <w:p w14:paraId="0B431C80"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329110200</w:t>
            </w:r>
          </w:p>
        </w:tc>
        <w:tc>
          <w:tcPr>
            <w:tcW w:w="4209" w:type="dxa"/>
            <w:tcBorders>
              <w:top w:val="nil"/>
              <w:left w:val="nil"/>
              <w:bottom w:val="single" w:sz="4" w:space="0" w:color="auto"/>
              <w:right w:val="single" w:sz="4" w:space="0" w:color="auto"/>
            </w:tcBorders>
            <w:vAlign w:val="center"/>
            <w:hideMark/>
          </w:tcPr>
          <w:p w14:paraId="28A918B1"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Auxílio Natalidade</w:t>
            </w:r>
          </w:p>
        </w:tc>
        <w:tc>
          <w:tcPr>
            <w:tcW w:w="1934" w:type="dxa"/>
            <w:tcBorders>
              <w:top w:val="nil"/>
              <w:left w:val="nil"/>
              <w:bottom w:val="single" w:sz="4" w:space="0" w:color="auto"/>
              <w:right w:val="single" w:sz="4" w:space="0" w:color="auto"/>
            </w:tcBorders>
            <w:vAlign w:val="center"/>
            <w:hideMark/>
          </w:tcPr>
          <w:p w14:paraId="7A250EFF"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14.570,78 </w:t>
            </w:r>
          </w:p>
        </w:tc>
        <w:tc>
          <w:tcPr>
            <w:tcW w:w="0" w:type="auto"/>
            <w:tcBorders>
              <w:top w:val="nil"/>
              <w:left w:val="nil"/>
              <w:bottom w:val="single" w:sz="4" w:space="0" w:color="auto"/>
              <w:right w:val="single" w:sz="4" w:space="0" w:color="auto"/>
            </w:tcBorders>
            <w:vAlign w:val="center"/>
            <w:hideMark/>
          </w:tcPr>
          <w:p w14:paraId="7ABD3E86"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786212A2"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7109BA4" w14:textId="29BA8300"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6</w:t>
            </w:r>
            <w:r w:rsidR="00713094">
              <w:rPr>
                <w:rFonts w:ascii="Times New Roman" w:eastAsia="Times New Roman" w:hAnsi="Times New Roman" w:cs="Times New Roman"/>
                <w:color w:val="000000"/>
                <w:sz w:val="20"/>
                <w:szCs w:val="20"/>
                <w:lang w:eastAsia="pt-BR"/>
              </w:rPr>
              <w:t>1</w:t>
            </w:r>
          </w:p>
        </w:tc>
        <w:tc>
          <w:tcPr>
            <w:tcW w:w="0" w:type="auto"/>
            <w:tcBorders>
              <w:top w:val="nil"/>
              <w:left w:val="nil"/>
              <w:bottom w:val="single" w:sz="4" w:space="0" w:color="auto"/>
              <w:right w:val="single" w:sz="4" w:space="0" w:color="auto"/>
            </w:tcBorders>
            <w:vAlign w:val="center"/>
            <w:hideMark/>
          </w:tcPr>
          <w:p w14:paraId="132FBCF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329110700</w:t>
            </w:r>
          </w:p>
        </w:tc>
        <w:tc>
          <w:tcPr>
            <w:tcW w:w="4209" w:type="dxa"/>
            <w:tcBorders>
              <w:top w:val="nil"/>
              <w:left w:val="nil"/>
              <w:bottom w:val="single" w:sz="4" w:space="0" w:color="auto"/>
              <w:right w:val="single" w:sz="4" w:space="0" w:color="auto"/>
            </w:tcBorders>
            <w:vAlign w:val="center"/>
            <w:hideMark/>
          </w:tcPr>
          <w:p w14:paraId="297045A4" w14:textId="355353CD"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Assistência à Sa</w:t>
            </w:r>
            <w:r w:rsidR="000A2FC3">
              <w:rPr>
                <w:rFonts w:ascii="Times New Roman" w:eastAsia="Times New Roman" w:hAnsi="Times New Roman" w:cs="Times New Roman"/>
                <w:color w:val="000000"/>
                <w:sz w:val="20"/>
                <w:szCs w:val="20"/>
                <w:lang w:eastAsia="pt-BR"/>
              </w:rPr>
              <w:t>ú</w:t>
            </w:r>
            <w:r w:rsidRPr="00634ADA">
              <w:rPr>
                <w:rFonts w:ascii="Times New Roman" w:eastAsia="Times New Roman" w:hAnsi="Times New Roman" w:cs="Times New Roman"/>
                <w:color w:val="000000"/>
                <w:sz w:val="20"/>
                <w:szCs w:val="20"/>
                <w:lang w:eastAsia="pt-BR"/>
              </w:rPr>
              <w:t>de</w:t>
            </w:r>
          </w:p>
        </w:tc>
        <w:tc>
          <w:tcPr>
            <w:tcW w:w="1934" w:type="dxa"/>
            <w:tcBorders>
              <w:top w:val="nil"/>
              <w:left w:val="nil"/>
              <w:bottom w:val="single" w:sz="4" w:space="0" w:color="auto"/>
              <w:right w:val="single" w:sz="4" w:space="0" w:color="auto"/>
            </w:tcBorders>
            <w:vAlign w:val="center"/>
            <w:hideMark/>
          </w:tcPr>
          <w:p w14:paraId="532C611F"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10.374.259,74 </w:t>
            </w:r>
          </w:p>
        </w:tc>
        <w:tc>
          <w:tcPr>
            <w:tcW w:w="0" w:type="auto"/>
            <w:tcBorders>
              <w:top w:val="nil"/>
              <w:left w:val="nil"/>
              <w:bottom w:val="single" w:sz="4" w:space="0" w:color="auto"/>
              <w:right w:val="single" w:sz="4" w:space="0" w:color="auto"/>
            </w:tcBorders>
            <w:vAlign w:val="center"/>
            <w:hideMark/>
          </w:tcPr>
          <w:p w14:paraId="6896B31B"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00A16A24"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6571CC68" w14:textId="07B7967E"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6</w:t>
            </w:r>
            <w:r w:rsidR="00713094">
              <w:rPr>
                <w:rFonts w:ascii="Times New Roman" w:eastAsia="Times New Roman" w:hAnsi="Times New Roman" w:cs="Times New Roman"/>
                <w:color w:val="000000"/>
                <w:sz w:val="20"/>
                <w:szCs w:val="20"/>
                <w:lang w:eastAsia="pt-BR"/>
              </w:rPr>
              <w:t>2</w:t>
            </w:r>
          </w:p>
        </w:tc>
        <w:tc>
          <w:tcPr>
            <w:tcW w:w="0" w:type="auto"/>
            <w:tcBorders>
              <w:top w:val="nil"/>
              <w:left w:val="nil"/>
              <w:bottom w:val="single" w:sz="4" w:space="0" w:color="auto"/>
              <w:right w:val="single" w:sz="4" w:space="0" w:color="auto"/>
            </w:tcBorders>
            <w:vAlign w:val="center"/>
            <w:hideMark/>
          </w:tcPr>
          <w:p w14:paraId="59BB9FD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329210700</w:t>
            </w:r>
          </w:p>
        </w:tc>
        <w:tc>
          <w:tcPr>
            <w:tcW w:w="4209" w:type="dxa"/>
            <w:tcBorders>
              <w:top w:val="nil"/>
              <w:left w:val="nil"/>
              <w:bottom w:val="single" w:sz="4" w:space="0" w:color="auto"/>
              <w:right w:val="single" w:sz="4" w:space="0" w:color="auto"/>
            </w:tcBorders>
            <w:vAlign w:val="center"/>
            <w:hideMark/>
          </w:tcPr>
          <w:p w14:paraId="0DF04185" w14:textId="419C801D"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Assistência à Sa</w:t>
            </w:r>
            <w:r w:rsidR="000A2FC3">
              <w:rPr>
                <w:rFonts w:ascii="Times New Roman" w:eastAsia="Times New Roman" w:hAnsi="Times New Roman" w:cs="Times New Roman"/>
                <w:color w:val="000000"/>
                <w:sz w:val="20"/>
                <w:szCs w:val="20"/>
                <w:lang w:eastAsia="pt-BR"/>
              </w:rPr>
              <w:t>ú</w:t>
            </w:r>
            <w:r w:rsidRPr="00634ADA">
              <w:rPr>
                <w:rFonts w:ascii="Times New Roman" w:eastAsia="Times New Roman" w:hAnsi="Times New Roman" w:cs="Times New Roman"/>
                <w:color w:val="000000"/>
                <w:sz w:val="20"/>
                <w:szCs w:val="20"/>
                <w:lang w:eastAsia="pt-BR"/>
              </w:rPr>
              <w:t>de</w:t>
            </w:r>
          </w:p>
        </w:tc>
        <w:tc>
          <w:tcPr>
            <w:tcW w:w="1934" w:type="dxa"/>
            <w:tcBorders>
              <w:top w:val="nil"/>
              <w:left w:val="nil"/>
              <w:bottom w:val="single" w:sz="4" w:space="0" w:color="auto"/>
              <w:right w:val="single" w:sz="4" w:space="0" w:color="auto"/>
            </w:tcBorders>
            <w:vAlign w:val="center"/>
            <w:hideMark/>
          </w:tcPr>
          <w:p w14:paraId="550E3E31"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156.495,01 </w:t>
            </w:r>
          </w:p>
        </w:tc>
        <w:tc>
          <w:tcPr>
            <w:tcW w:w="0" w:type="auto"/>
            <w:tcBorders>
              <w:top w:val="nil"/>
              <w:left w:val="nil"/>
              <w:bottom w:val="single" w:sz="4" w:space="0" w:color="auto"/>
              <w:right w:val="single" w:sz="4" w:space="0" w:color="auto"/>
            </w:tcBorders>
            <w:vAlign w:val="center"/>
            <w:hideMark/>
          </w:tcPr>
          <w:p w14:paraId="1E74C474"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Pessoal</w:t>
            </w:r>
          </w:p>
        </w:tc>
      </w:tr>
      <w:tr w:rsidR="00030041" w:rsidRPr="00634ADA" w14:paraId="10434ABC"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B718BF1" w14:textId="279EDAC9"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6</w:t>
            </w:r>
            <w:r w:rsidR="00713094">
              <w:rPr>
                <w:rFonts w:ascii="Times New Roman" w:eastAsia="Times New Roman" w:hAnsi="Times New Roman" w:cs="Times New Roman"/>
                <w:color w:val="000000"/>
                <w:sz w:val="20"/>
                <w:szCs w:val="20"/>
                <w:lang w:eastAsia="pt-BR"/>
              </w:rPr>
              <w:t>3</w:t>
            </w:r>
          </w:p>
        </w:tc>
        <w:tc>
          <w:tcPr>
            <w:tcW w:w="0" w:type="auto"/>
            <w:tcBorders>
              <w:top w:val="nil"/>
              <w:left w:val="nil"/>
              <w:bottom w:val="single" w:sz="4" w:space="0" w:color="auto"/>
              <w:right w:val="single" w:sz="4" w:space="0" w:color="auto"/>
            </w:tcBorders>
            <w:vAlign w:val="center"/>
            <w:hideMark/>
          </w:tcPr>
          <w:p w14:paraId="5E12847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331110900</w:t>
            </w:r>
          </w:p>
        </w:tc>
        <w:tc>
          <w:tcPr>
            <w:tcW w:w="4209" w:type="dxa"/>
            <w:tcBorders>
              <w:top w:val="nil"/>
              <w:left w:val="nil"/>
              <w:bottom w:val="single" w:sz="4" w:space="0" w:color="auto"/>
              <w:right w:val="single" w:sz="4" w:space="0" w:color="auto"/>
            </w:tcBorders>
            <w:vAlign w:val="center"/>
            <w:hideMark/>
          </w:tcPr>
          <w:p w14:paraId="07711F28"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Material de Consumo Imediato</w:t>
            </w:r>
          </w:p>
        </w:tc>
        <w:tc>
          <w:tcPr>
            <w:tcW w:w="1934" w:type="dxa"/>
            <w:tcBorders>
              <w:top w:val="nil"/>
              <w:left w:val="nil"/>
              <w:bottom w:val="single" w:sz="4" w:space="0" w:color="auto"/>
              <w:right w:val="single" w:sz="4" w:space="0" w:color="auto"/>
            </w:tcBorders>
            <w:vAlign w:val="center"/>
            <w:hideMark/>
          </w:tcPr>
          <w:p w14:paraId="19C4E50D"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1.050.703,45 </w:t>
            </w:r>
          </w:p>
        </w:tc>
        <w:tc>
          <w:tcPr>
            <w:tcW w:w="0" w:type="auto"/>
            <w:tcBorders>
              <w:top w:val="nil"/>
              <w:left w:val="nil"/>
              <w:bottom w:val="single" w:sz="4" w:space="0" w:color="auto"/>
              <w:right w:val="single" w:sz="4" w:space="0" w:color="auto"/>
            </w:tcBorders>
            <w:vAlign w:val="center"/>
            <w:hideMark/>
          </w:tcPr>
          <w:p w14:paraId="3193DAF2"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Contratações</w:t>
            </w:r>
          </w:p>
        </w:tc>
      </w:tr>
      <w:tr w:rsidR="00030041" w:rsidRPr="00634ADA" w14:paraId="601EA104"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0096D974" w14:textId="63564AD1"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6</w:t>
            </w:r>
            <w:r w:rsidR="00713094">
              <w:rPr>
                <w:rFonts w:ascii="Times New Roman" w:eastAsia="Times New Roman" w:hAnsi="Times New Roman" w:cs="Times New Roman"/>
                <w:color w:val="000000"/>
                <w:sz w:val="20"/>
                <w:szCs w:val="20"/>
                <w:lang w:eastAsia="pt-BR"/>
              </w:rPr>
              <w:t>4</w:t>
            </w:r>
          </w:p>
        </w:tc>
        <w:tc>
          <w:tcPr>
            <w:tcW w:w="0" w:type="auto"/>
            <w:tcBorders>
              <w:top w:val="nil"/>
              <w:left w:val="nil"/>
              <w:bottom w:val="single" w:sz="4" w:space="0" w:color="auto"/>
              <w:right w:val="single" w:sz="4" w:space="0" w:color="auto"/>
            </w:tcBorders>
            <w:vAlign w:val="center"/>
            <w:hideMark/>
          </w:tcPr>
          <w:p w14:paraId="3620F1BC"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332310200</w:t>
            </w:r>
          </w:p>
        </w:tc>
        <w:tc>
          <w:tcPr>
            <w:tcW w:w="4209" w:type="dxa"/>
            <w:tcBorders>
              <w:top w:val="nil"/>
              <w:left w:val="nil"/>
              <w:bottom w:val="single" w:sz="4" w:space="0" w:color="auto"/>
              <w:right w:val="single" w:sz="4" w:space="0" w:color="auto"/>
            </w:tcBorders>
            <w:vAlign w:val="center"/>
            <w:hideMark/>
          </w:tcPr>
          <w:p w14:paraId="28E694CA"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Serviços de Apoio Adm. Técnico E Operacional</w:t>
            </w:r>
          </w:p>
        </w:tc>
        <w:tc>
          <w:tcPr>
            <w:tcW w:w="1934" w:type="dxa"/>
            <w:tcBorders>
              <w:top w:val="nil"/>
              <w:left w:val="nil"/>
              <w:bottom w:val="single" w:sz="4" w:space="0" w:color="auto"/>
              <w:right w:val="single" w:sz="4" w:space="0" w:color="auto"/>
            </w:tcBorders>
            <w:vAlign w:val="center"/>
            <w:hideMark/>
          </w:tcPr>
          <w:p w14:paraId="30E6C002"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25.667.435,32 </w:t>
            </w:r>
          </w:p>
        </w:tc>
        <w:tc>
          <w:tcPr>
            <w:tcW w:w="0" w:type="auto"/>
            <w:tcBorders>
              <w:top w:val="nil"/>
              <w:left w:val="nil"/>
              <w:bottom w:val="single" w:sz="4" w:space="0" w:color="auto"/>
              <w:right w:val="single" w:sz="4" w:space="0" w:color="auto"/>
            </w:tcBorders>
            <w:vAlign w:val="center"/>
            <w:hideMark/>
          </w:tcPr>
          <w:p w14:paraId="1F60D02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Contratações</w:t>
            </w:r>
          </w:p>
        </w:tc>
      </w:tr>
      <w:tr w:rsidR="00030041" w:rsidRPr="00634ADA" w14:paraId="2A3ADE4B" w14:textId="77777777" w:rsidTr="00713094">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213F46B" w14:textId="73F3D31C"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6</w:t>
            </w:r>
            <w:r w:rsidR="00713094">
              <w:rPr>
                <w:rFonts w:ascii="Times New Roman" w:eastAsia="Times New Roman" w:hAnsi="Times New Roman" w:cs="Times New Roman"/>
                <w:color w:val="000000"/>
                <w:sz w:val="20"/>
                <w:szCs w:val="20"/>
                <w:lang w:eastAsia="pt-BR"/>
              </w:rPr>
              <w:t>5</w:t>
            </w:r>
          </w:p>
        </w:tc>
        <w:tc>
          <w:tcPr>
            <w:tcW w:w="0" w:type="auto"/>
            <w:tcBorders>
              <w:top w:val="nil"/>
              <w:left w:val="nil"/>
              <w:bottom w:val="single" w:sz="4" w:space="0" w:color="auto"/>
              <w:right w:val="single" w:sz="4" w:space="0" w:color="auto"/>
            </w:tcBorders>
            <w:vAlign w:val="center"/>
            <w:hideMark/>
          </w:tcPr>
          <w:p w14:paraId="229457CF"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333110100</w:t>
            </w:r>
          </w:p>
        </w:tc>
        <w:tc>
          <w:tcPr>
            <w:tcW w:w="4209" w:type="dxa"/>
            <w:tcBorders>
              <w:top w:val="nil"/>
              <w:left w:val="nil"/>
              <w:bottom w:val="single" w:sz="4" w:space="0" w:color="auto"/>
              <w:right w:val="single" w:sz="4" w:space="0" w:color="auto"/>
            </w:tcBorders>
            <w:vAlign w:val="center"/>
            <w:hideMark/>
          </w:tcPr>
          <w:p w14:paraId="2FF956C0" w14:textId="77777777" w:rsidR="00634ADA" w:rsidRPr="00634ADA" w:rsidRDefault="00634ADA" w:rsidP="00634ADA">
            <w:pPr>
              <w:ind w:firstLine="0"/>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Depreciação de Bens Móveis</w:t>
            </w:r>
          </w:p>
        </w:tc>
        <w:tc>
          <w:tcPr>
            <w:tcW w:w="1934" w:type="dxa"/>
            <w:tcBorders>
              <w:top w:val="nil"/>
              <w:left w:val="nil"/>
              <w:bottom w:val="single" w:sz="4" w:space="0" w:color="auto"/>
              <w:right w:val="single" w:sz="4" w:space="0" w:color="auto"/>
            </w:tcBorders>
            <w:vAlign w:val="center"/>
            <w:hideMark/>
          </w:tcPr>
          <w:p w14:paraId="0B81C038" w14:textId="77777777" w:rsidR="00634ADA" w:rsidRPr="00634ADA" w:rsidRDefault="00634ADA" w:rsidP="00634ADA">
            <w:pPr>
              <w:ind w:firstLine="0"/>
              <w:jc w:val="right"/>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5.300.365,19 </w:t>
            </w:r>
          </w:p>
        </w:tc>
        <w:tc>
          <w:tcPr>
            <w:tcW w:w="0" w:type="auto"/>
            <w:tcBorders>
              <w:top w:val="nil"/>
              <w:left w:val="nil"/>
              <w:bottom w:val="single" w:sz="4" w:space="0" w:color="auto"/>
              <w:right w:val="single" w:sz="4" w:space="0" w:color="auto"/>
            </w:tcBorders>
            <w:vAlign w:val="center"/>
            <w:hideMark/>
          </w:tcPr>
          <w:p w14:paraId="0BB7EE3A" w14:textId="77777777" w:rsidR="00634ADA" w:rsidRPr="00634ADA" w:rsidRDefault="00634ADA" w:rsidP="00634ADA">
            <w:pPr>
              <w:ind w:firstLine="0"/>
              <w:jc w:val="center"/>
              <w:rPr>
                <w:rFonts w:ascii="Times New Roman" w:eastAsia="Times New Roman" w:hAnsi="Times New Roman" w:cs="Times New Roman"/>
                <w:color w:val="000000"/>
                <w:sz w:val="20"/>
                <w:szCs w:val="20"/>
                <w:lang w:eastAsia="pt-BR"/>
              </w:rPr>
            </w:pPr>
            <w:r w:rsidRPr="00634ADA">
              <w:rPr>
                <w:rFonts w:ascii="Times New Roman" w:eastAsia="Times New Roman" w:hAnsi="Times New Roman" w:cs="Times New Roman"/>
                <w:color w:val="000000"/>
                <w:sz w:val="20"/>
                <w:szCs w:val="20"/>
                <w:lang w:eastAsia="pt-BR"/>
              </w:rPr>
              <w:t>Patrimônio</w:t>
            </w:r>
          </w:p>
        </w:tc>
      </w:tr>
    </w:tbl>
    <w:p w14:paraId="491C43C0" w14:textId="7876CFBA" w:rsidR="009C6652" w:rsidRPr="005F5528" w:rsidRDefault="009C6652" w:rsidP="009C6652">
      <w:pPr>
        <w:ind w:right="12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lang w:eastAsia="pt-BR"/>
        </w:rPr>
        <w:t>Fon</w:t>
      </w:r>
      <w:r w:rsidR="00713094">
        <w:rPr>
          <w:rFonts w:ascii="Times New Roman" w:eastAsia="Times New Roman" w:hAnsi="Times New Roman" w:cs="Times New Roman"/>
          <w:color w:val="000000"/>
          <w:sz w:val="20"/>
          <w:szCs w:val="20"/>
          <w:lang w:eastAsia="pt-BR"/>
        </w:rPr>
        <w:t>t</w:t>
      </w:r>
      <w:r>
        <w:rPr>
          <w:rFonts w:ascii="Times New Roman" w:eastAsia="Times New Roman" w:hAnsi="Times New Roman" w:cs="Times New Roman"/>
          <w:color w:val="000000"/>
          <w:sz w:val="20"/>
          <w:szCs w:val="20"/>
          <w:lang w:eastAsia="pt-BR"/>
        </w:rPr>
        <w:t>e: P</w:t>
      </w:r>
      <w:r w:rsidRPr="00EE3DC2">
        <w:rPr>
          <w:rFonts w:ascii="Times New Roman" w:eastAsia="Times New Roman" w:hAnsi="Times New Roman" w:cs="Times New Roman"/>
          <w:color w:val="000000"/>
          <w:sz w:val="20"/>
          <w:szCs w:val="20"/>
          <w:lang w:eastAsia="pt-BR"/>
        </w:rPr>
        <w:t>320.1 - Materialidade - 31/07/202</w:t>
      </w:r>
      <w:r>
        <w:rPr>
          <w:rFonts w:ascii="Times New Roman" w:eastAsia="Times New Roman" w:hAnsi="Times New Roman" w:cs="Times New Roman"/>
          <w:color w:val="000000"/>
          <w:sz w:val="20"/>
          <w:szCs w:val="20"/>
          <w:lang w:eastAsia="pt-BR"/>
        </w:rPr>
        <w:t xml:space="preserve">5 (id. </w:t>
      </w:r>
      <w:r w:rsidRPr="00BD7386">
        <w:rPr>
          <w:rFonts w:ascii="Times New Roman" w:hAnsi="Times New Roman" w:cs="Times New Roman"/>
          <w:sz w:val="20"/>
          <w:szCs w:val="20"/>
        </w:rPr>
        <w:t>1337275</w:t>
      </w:r>
      <w:r w:rsidRPr="00EE3DC2">
        <w:rPr>
          <w:rFonts w:ascii="Times New Roman" w:eastAsia="Times New Roman" w:hAnsi="Times New Roman" w:cs="Times New Roman"/>
          <w:color w:val="000000"/>
          <w:sz w:val="20"/>
          <w:szCs w:val="20"/>
          <w:lang w:eastAsia="pt-BR"/>
        </w:rPr>
        <w:t>)</w:t>
      </w:r>
    </w:p>
    <w:p w14:paraId="3673917F" w14:textId="77777777" w:rsidR="001F2898" w:rsidRDefault="001F2898" w:rsidP="0011091E">
      <w:pPr>
        <w:spacing w:before="120"/>
        <w:ind w:right="119" w:firstLine="0"/>
        <w:jc w:val="both"/>
        <w:rPr>
          <w:rFonts w:ascii="Times New Roman" w:eastAsia="Times New Roman" w:hAnsi="Times New Roman" w:cs="Times New Roman"/>
          <w:sz w:val="20"/>
          <w:szCs w:val="20"/>
          <w:lang w:eastAsia="pt-BR"/>
        </w:rPr>
      </w:pPr>
    </w:p>
    <w:p w14:paraId="0AA179ED" w14:textId="4C2B4B73" w:rsidR="00C842D7" w:rsidRPr="001E3288" w:rsidRDefault="00D1662C" w:rsidP="004F273F">
      <w:pPr>
        <w:ind w:right="119" w:firstLine="708"/>
        <w:rPr>
          <w:rFonts w:ascii="Times New Roman" w:eastAsia="Times New Roman" w:hAnsi="Times New Roman" w:cs="Times New Roman"/>
          <w:b/>
          <w:sz w:val="20"/>
          <w:szCs w:val="20"/>
          <w:lang w:eastAsia="pt-BR"/>
        </w:rPr>
      </w:pPr>
      <w:r w:rsidRPr="001E3288">
        <w:rPr>
          <w:rFonts w:ascii="Times New Roman" w:eastAsia="Times New Roman" w:hAnsi="Times New Roman" w:cs="Times New Roman"/>
          <w:b/>
          <w:sz w:val="20"/>
          <w:szCs w:val="20"/>
          <w:lang w:eastAsia="pt-BR"/>
        </w:rPr>
        <w:t xml:space="preserve">Tabela </w:t>
      </w:r>
      <w:r w:rsidR="00DD7DC3">
        <w:rPr>
          <w:rFonts w:ascii="Times New Roman" w:eastAsia="Times New Roman" w:hAnsi="Times New Roman" w:cs="Times New Roman"/>
          <w:b/>
          <w:sz w:val="20"/>
          <w:szCs w:val="20"/>
          <w:lang w:eastAsia="pt-BR"/>
        </w:rPr>
        <w:t>9</w:t>
      </w:r>
      <w:r w:rsidR="00C842D7" w:rsidRPr="001E3288">
        <w:rPr>
          <w:rFonts w:ascii="Times New Roman" w:eastAsia="Times New Roman" w:hAnsi="Times New Roman" w:cs="Times New Roman"/>
          <w:b/>
          <w:sz w:val="20"/>
          <w:szCs w:val="20"/>
          <w:lang w:eastAsia="pt-BR"/>
        </w:rPr>
        <w:t xml:space="preserve"> – Despesa sob a ótica orçamentária (natureza da despesa) por relevância </w:t>
      </w:r>
      <w:r w:rsidR="0036276F" w:rsidRPr="001E3288">
        <w:rPr>
          <w:rFonts w:ascii="Times New Roman" w:eastAsia="Times New Roman" w:hAnsi="Times New Roman" w:cs="Times New Roman"/>
          <w:b/>
          <w:sz w:val="20"/>
          <w:szCs w:val="20"/>
          <w:lang w:eastAsia="pt-BR"/>
        </w:rPr>
        <w:t>qualitativa</w:t>
      </w:r>
      <w:r w:rsidR="00C842D7" w:rsidRPr="001E3288">
        <w:rPr>
          <w:rFonts w:ascii="Times New Roman" w:eastAsia="Times New Roman" w:hAnsi="Times New Roman" w:cs="Times New Roman"/>
          <w:b/>
          <w:bCs/>
          <w:color w:val="000000"/>
          <w:sz w:val="20"/>
          <w:szCs w:val="20"/>
          <w:lang w:eastAsia="pt-BR"/>
        </w:rPr>
        <w:t xml:space="preserve"> – </w:t>
      </w:r>
      <w:r w:rsidR="00B461C9">
        <w:rPr>
          <w:rFonts w:ascii="Times New Roman" w:eastAsia="Times New Roman" w:hAnsi="Times New Roman" w:cs="Times New Roman"/>
          <w:b/>
          <w:bCs/>
          <w:color w:val="000000"/>
          <w:sz w:val="20"/>
          <w:szCs w:val="20"/>
          <w:lang w:eastAsia="pt-BR"/>
        </w:rPr>
        <w:t>j</w:t>
      </w:r>
      <w:r w:rsidRPr="001E3288">
        <w:rPr>
          <w:rFonts w:ascii="Times New Roman" w:eastAsia="Times New Roman" w:hAnsi="Times New Roman" w:cs="Times New Roman"/>
          <w:b/>
          <w:bCs/>
          <w:color w:val="000000"/>
          <w:sz w:val="20"/>
          <w:szCs w:val="20"/>
          <w:lang w:eastAsia="pt-BR"/>
        </w:rPr>
        <w:t>ulho/202</w:t>
      </w:r>
      <w:r w:rsidR="00FF3F92">
        <w:rPr>
          <w:rFonts w:ascii="Times New Roman" w:eastAsia="Times New Roman" w:hAnsi="Times New Roman" w:cs="Times New Roman"/>
          <w:b/>
          <w:bCs/>
          <w:color w:val="000000"/>
          <w:sz w:val="20"/>
          <w:szCs w:val="20"/>
          <w:lang w:eastAsia="pt-BR"/>
        </w:rPr>
        <w:t>5</w:t>
      </w:r>
      <w:r w:rsidR="00C842D7" w:rsidRPr="001E3288">
        <w:rPr>
          <w:rFonts w:ascii="Times New Roman" w:eastAsia="Times New Roman" w:hAnsi="Times New Roman" w:cs="Times New Roman"/>
          <w:b/>
          <w:bCs/>
          <w:color w:val="000000"/>
          <w:sz w:val="20"/>
          <w:szCs w:val="20"/>
          <w:lang w:eastAsia="pt-BR"/>
        </w:rPr>
        <w:t xml:space="preserve"> – Precatórios e RPVs</w:t>
      </w:r>
    </w:p>
    <w:tbl>
      <w:tblPr>
        <w:tblW w:w="9351" w:type="dxa"/>
        <w:jc w:val="center"/>
        <w:tblCellMar>
          <w:left w:w="70" w:type="dxa"/>
          <w:right w:w="70" w:type="dxa"/>
        </w:tblCellMar>
        <w:tblLook w:val="04A0" w:firstRow="1" w:lastRow="0" w:firstColumn="1" w:lastColumn="0" w:noHBand="0" w:noVBand="1"/>
      </w:tblPr>
      <w:tblGrid>
        <w:gridCol w:w="502"/>
        <w:gridCol w:w="1406"/>
        <w:gridCol w:w="3899"/>
        <w:gridCol w:w="1844"/>
        <w:gridCol w:w="1700"/>
      </w:tblGrid>
      <w:tr w:rsidR="00DA71FB" w:rsidRPr="00321BD7" w14:paraId="4E269D26" w14:textId="77777777" w:rsidTr="001F5E67">
        <w:trPr>
          <w:trHeight w:val="612"/>
          <w:jc w:val="center"/>
        </w:trPr>
        <w:tc>
          <w:tcPr>
            <w:tcW w:w="50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FCF22D5" w14:textId="77777777" w:rsidR="00DA71FB" w:rsidRPr="00321BD7" w:rsidRDefault="00DA71FB" w:rsidP="005F5528">
            <w:pPr>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Seq.</w:t>
            </w:r>
          </w:p>
        </w:tc>
        <w:tc>
          <w:tcPr>
            <w:tcW w:w="140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87825E2" w14:textId="77777777" w:rsidR="00DA71FB" w:rsidRPr="00321BD7" w:rsidRDefault="00DA71FB" w:rsidP="005F5528">
            <w:pPr>
              <w:ind w:firstLine="0"/>
              <w:jc w:val="center"/>
              <w:rPr>
                <w:rFonts w:ascii="Times New Roman" w:eastAsia="Times New Roman" w:hAnsi="Times New Roman" w:cs="Times New Roman"/>
                <w:b/>
                <w:bCs/>
                <w:sz w:val="20"/>
                <w:szCs w:val="20"/>
                <w:lang w:eastAsia="pt-BR"/>
              </w:rPr>
            </w:pPr>
            <w:r w:rsidRPr="00321BD7">
              <w:rPr>
                <w:rFonts w:ascii="Times New Roman" w:eastAsia="Times New Roman" w:hAnsi="Times New Roman" w:cs="Times New Roman"/>
                <w:b/>
                <w:bCs/>
                <w:sz w:val="20"/>
                <w:szCs w:val="20"/>
                <w:lang w:eastAsia="pt-BR"/>
              </w:rPr>
              <w:t>Código da conta</w:t>
            </w:r>
          </w:p>
        </w:tc>
        <w:tc>
          <w:tcPr>
            <w:tcW w:w="3899"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34524D82" w14:textId="77777777" w:rsidR="00DA71FB" w:rsidRPr="00321BD7" w:rsidRDefault="00DA71FB" w:rsidP="005F5528">
            <w:pPr>
              <w:ind w:firstLine="0"/>
              <w:jc w:val="center"/>
              <w:rPr>
                <w:rFonts w:ascii="Times New Roman" w:eastAsia="Times New Roman" w:hAnsi="Times New Roman" w:cs="Times New Roman"/>
                <w:b/>
                <w:bCs/>
                <w:sz w:val="20"/>
                <w:szCs w:val="20"/>
                <w:lang w:eastAsia="pt-BR"/>
              </w:rPr>
            </w:pPr>
            <w:r w:rsidRPr="00321BD7">
              <w:rPr>
                <w:rFonts w:ascii="Times New Roman" w:eastAsia="Times New Roman" w:hAnsi="Times New Roman" w:cs="Times New Roman"/>
                <w:b/>
                <w:bCs/>
                <w:sz w:val="20"/>
                <w:szCs w:val="20"/>
                <w:lang w:eastAsia="pt-BR"/>
              </w:rPr>
              <w:t>Descrição conta contábil</w:t>
            </w:r>
          </w:p>
        </w:tc>
        <w:tc>
          <w:tcPr>
            <w:tcW w:w="1844"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54743830" w14:textId="77777777" w:rsidR="00DA71FB" w:rsidRPr="00321BD7" w:rsidRDefault="00DA71FB" w:rsidP="005F5528">
            <w:pPr>
              <w:ind w:firstLine="0"/>
              <w:jc w:val="center"/>
              <w:rPr>
                <w:rFonts w:ascii="Times New Roman" w:eastAsia="Times New Roman" w:hAnsi="Times New Roman" w:cs="Times New Roman"/>
                <w:b/>
                <w:bCs/>
                <w:sz w:val="20"/>
                <w:szCs w:val="20"/>
                <w:lang w:eastAsia="pt-BR"/>
              </w:rPr>
            </w:pPr>
            <w:r w:rsidRPr="00321BD7">
              <w:rPr>
                <w:rFonts w:ascii="Times New Roman" w:eastAsia="Times New Roman" w:hAnsi="Times New Roman" w:cs="Times New Roman"/>
                <w:b/>
                <w:bCs/>
                <w:sz w:val="20"/>
                <w:szCs w:val="20"/>
                <w:lang w:eastAsia="pt-BR"/>
              </w:rPr>
              <w:t>Valor monetário da conta ou saldo (R$)</w:t>
            </w:r>
          </w:p>
        </w:tc>
        <w:tc>
          <w:tcPr>
            <w:tcW w:w="1700"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099C599D" w14:textId="77777777" w:rsidR="00DA71FB" w:rsidRPr="00321BD7" w:rsidRDefault="00DA71FB" w:rsidP="005F5528">
            <w:pPr>
              <w:ind w:firstLine="0"/>
              <w:jc w:val="center"/>
              <w:rPr>
                <w:rFonts w:ascii="Times New Roman" w:eastAsia="Times New Roman" w:hAnsi="Times New Roman" w:cs="Times New Roman"/>
                <w:b/>
                <w:bCs/>
                <w:sz w:val="20"/>
                <w:szCs w:val="20"/>
                <w:lang w:eastAsia="pt-BR"/>
              </w:rPr>
            </w:pPr>
            <w:r w:rsidRPr="00321BD7">
              <w:rPr>
                <w:rFonts w:ascii="Times New Roman" w:eastAsia="Times New Roman" w:hAnsi="Times New Roman" w:cs="Times New Roman"/>
                <w:b/>
                <w:bCs/>
                <w:sz w:val="20"/>
                <w:szCs w:val="20"/>
                <w:lang w:eastAsia="pt-BR"/>
              </w:rPr>
              <w:t>Ciclo Contábil</w:t>
            </w:r>
          </w:p>
        </w:tc>
      </w:tr>
      <w:tr w:rsidR="00DA71FB" w:rsidRPr="00321BD7" w14:paraId="16011827" w14:textId="77777777" w:rsidTr="001F5E67">
        <w:trPr>
          <w:trHeight w:val="340"/>
          <w:jc w:val="center"/>
        </w:trPr>
        <w:tc>
          <w:tcPr>
            <w:tcW w:w="502" w:type="dxa"/>
            <w:tcBorders>
              <w:top w:val="nil"/>
              <w:left w:val="single" w:sz="4" w:space="0" w:color="auto"/>
              <w:bottom w:val="single" w:sz="4" w:space="0" w:color="auto"/>
              <w:right w:val="single" w:sz="4" w:space="0" w:color="auto"/>
            </w:tcBorders>
            <w:vAlign w:val="center"/>
          </w:tcPr>
          <w:p w14:paraId="3A678EBA" w14:textId="77777777" w:rsidR="00DA71FB" w:rsidRPr="00321BD7" w:rsidRDefault="00DA71FB"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tc>
        <w:tc>
          <w:tcPr>
            <w:tcW w:w="1406" w:type="dxa"/>
            <w:tcBorders>
              <w:top w:val="nil"/>
              <w:left w:val="single" w:sz="4" w:space="0" w:color="auto"/>
              <w:bottom w:val="single" w:sz="4" w:space="0" w:color="auto"/>
              <w:right w:val="single" w:sz="4" w:space="0" w:color="auto"/>
            </w:tcBorders>
            <w:vAlign w:val="center"/>
            <w:hideMark/>
          </w:tcPr>
          <w:p w14:paraId="31DB39D5" w14:textId="40F87085" w:rsidR="00DA71FB" w:rsidRPr="00321BD7" w:rsidRDefault="00DA71FB"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31909</w:t>
            </w:r>
            <w:r w:rsidR="00C7013E">
              <w:rPr>
                <w:rFonts w:ascii="Times New Roman" w:eastAsia="Times New Roman" w:hAnsi="Times New Roman" w:cs="Times New Roman"/>
                <w:sz w:val="20"/>
                <w:szCs w:val="20"/>
                <w:lang w:eastAsia="pt-BR"/>
              </w:rPr>
              <w:t>2</w:t>
            </w:r>
          </w:p>
        </w:tc>
        <w:tc>
          <w:tcPr>
            <w:tcW w:w="3899" w:type="dxa"/>
            <w:tcBorders>
              <w:top w:val="nil"/>
              <w:left w:val="nil"/>
              <w:bottom w:val="single" w:sz="4" w:space="0" w:color="auto"/>
              <w:right w:val="single" w:sz="4" w:space="0" w:color="auto"/>
            </w:tcBorders>
            <w:vAlign w:val="center"/>
            <w:hideMark/>
          </w:tcPr>
          <w:p w14:paraId="42466610" w14:textId="32F9B3C8" w:rsidR="00DA71FB" w:rsidRPr="00321BD7" w:rsidRDefault="00C7013E" w:rsidP="005F5528">
            <w:pPr>
              <w:ind w:firstLine="0"/>
              <w:jc w:val="both"/>
              <w:rPr>
                <w:rFonts w:ascii="Times New Roman" w:eastAsia="Times New Roman" w:hAnsi="Times New Roman" w:cs="Times New Roman"/>
                <w:sz w:val="20"/>
                <w:szCs w:val="20"/>
                <w:lang w:eastAsia="pt-BR"/>
              </w:rPr>
            </w:pPr>
            <w:r w:rsidRPr="00C7013E">
              <w:rPr>
                <w:rFonts w:ascii="Times New Roman" w:eastAsia="Times New Roman" w:hAnsi="Times New Roman" w:cs="Times New Roman"/>
                <w:sz w:val="20"/>
                <w:szCs w:val="20"/>
                <w:lang w:eastAsia="pt-BR"/>
              </w:rPr>
              <w:t>Despesas de Ex</w:t>
            </w:r>
            <w:r>
              <w:rPr>
                <w:rFonts w:ascii="Times New Roman" w:eastAsia="Times New Roman" w:hAnsi="Times New Roman" w:cs="Times New Roman"/>
                <w:sz w:val="20"/>
                <w:szCs w:val="20"/>
                <w:lang w:eastAsia="pt-BR"/>
              </w:rPr>
              <w:t>.</w:t>
            </w:r>
            <w:r w:rsidRPr="00C7013E">
              <w:rPr>
                <w:rFonts w:ascii="Times New Roman" w:eastAsia="Times New Roman" w:hAnsi="Times New Roman" w:cs="Times New Roman"/>
                <w:sz w:val="20"/>
                <w:szCs w:val="20"/>
                <w:lang w:eastAsia="pt-BR"/>
              </w:rPr>
              <w:t xml:space="preserve"> Anteriores - Precatórios/RPV</w:t>
            </w:r>
          </w:p>
        </w:tc>
        <w:tc>
          <w:tcPr>
            <w:tcW w:w="1844" w:type="dxa"/>
            <w:tcBorders>
              <w:top w:val="nil"/>
              <w:left w:val="nil"/>
              <w:bottom w:val="single" w:sz="4" w:space="0" w:color="auto"/>
              <w:right w:val="single" w:sz="4" w:space="0" w:color="auto"/>
            </w:tcBorders>
            <w:noWrap/>
            <w:vAlign w:val="center"/>
          </w:tcPr>
          <w:p w14:paraId="21C64ACE" w14:textId="3353F16F" w:rsidR="00DA71FB" w:rsidRPr="00321BD7" w:rsidRDefault="006E271F" w:rsidP="005F5528">
            <w:pPr>
              <w:ind w:firstLine="0"/>
              <w:jc w:val="right"/>
              <w:rPr>
                <w:rFonts w:ascii="Times New Roman" w:eastAsia="Times New Roman" w:hAnsi="Times New Roman" w:cs="Times New Roman"/>
                <w:sz w:val="20"/>
                <w:szCs w:val="20"/>
                <w:lang w:eastAsia="pt-BR"/>
              </w:rPr>
            </w:pPr>
            <w:r w:rsidRPr="006E271F">
              <w:rPr>
                <w:rFonts w:ascii="Times New Roman" w:eastAsia="Times New Roman" w:hAnsi="Times New Roman" w:cs="Times New Roman"/>
                <w:sz w:val="20"/>
                <w:szCs w:val="20"/>
                <w:lang w:eastAsia="pt-BR"/>
              </w:rPr>
              <w:t>2.137.756,53 </w:t>
            </w:r>
          </w:p>
        </w:tc>
        <w:tc>
          <w:tcPr>
            <w:tcW w:w="1700" w:type="dxa"/>
            <w:tcBorders>
              <w:top w:val="nil"/>
              <w:left w:val="nil"/>
              <w:bottom w:val="single" w:sz="4" w:space="0" w:color="auto"/>
              <w:right w:val="single" w:sz="4" w:space="0" w:color="auto"/>
            </w:tcBorders>
            <w:noWrap/>
            <w:vAlign w:val="center"/>
            <w:hideMark/>
          </w:tcPr>
          <w:p w14:paraId="4F309641" w14:textId="77777777" w:rsidR="00DA71FB" w:rsidRPr="00321BD7" w:rsidRDefault="00DA71FB"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Precatórios/RPVs</w:t>
            </w:r>
          </w:p>
        </w:tc>
      </w:tr>
      <w:tr w:rsidR="00C7013E" w:rsidRPr="00321BD7" w14:paraId="7DD5134C" w14:textId="77777777" w:rsidTr="001F5E67">
        <w:trPr>
          <w:trHeight w:val="340"/>
          <w:jc w:val="center"/>
        </w:trPr>
        <w:tc>
          <w:tcPr>
            <w:tcW w:w="502" w:type="dxa"/>
            <w:tcBorders>
              <w:top w:val="nil"/>
              <w:left w:val="single" w:sz="4" w:space="0" w:color="auto"/>
              <w:bottom w:val="single" w:sz="4" w:space="0" w:color="auto"/>
              <w:right w:val="single" w:sz="4" w:space="0" w:color="auto"/>
            </w:tcBorders>
            <w:vAlign w:val="center"/>
          </w:tcPr>
          <w:p w14:paraId="37F524DE" w14:textId="72524CE8" w:rsidR="00C7013E" w:rsidRDefault="00C7013E"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tc>
        <w:tc>
          <w:tcPr>
            <w:tcW w:w="1406" w:type="dxa"/>
            <w:tcBorders>
              <w:top w:val="nil"/>
              <w:left w:val="single" w:sz="4" w:space="0" w:color="auto"/>
              <w:bottom w:val="single" w:sz="4" w:space="0" w:color="auto"/>
              <w:right w:val="single" w:sz="4" w:space="0" w:color="auto"/>
            </w:tcBorders>
            <w:vAlign w:val="center"/>
          </w:tcPr>
          <w:p w14:paraId="52943CC0" w14:textId="542B1DC7" w:rsidR="00C7013E" w:rsidRDefault="00C7013E"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319191</w:t>
            </w:r>
          </w:p>
        </w:tc>
        <w:tc>
          <w:tcPr>
            <w:tcW w:w="3899" w:type="dxa"/>
            <w:tcBorders>
              <w:top w:val="nil"/>
              <w:left w:val="nil"/>
              <w:bottom w:val="single" w:sz="4" w:space="0" w:color="auto"/>
              <w:right w:val="single" w:sz="4" w:space="0" w:color="auto"/>
            </w:tcBorders>
            <w:vAlign w:val="center"/>
          </w:tcPr>
          <w:p w14:paraId="1BEB855E" w14:textId="1D827897" w:rsidR="00C7013E" w:rsidRDefault="00C7013E" w:rsidP="005F5528">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Sentenças judiciais – Precatórios/RPV</w:t>
            </w:r>
          </w:p>
        </w:tc>
        <w:tc>
          <w:tcPr>
            <w:tcW w:w="1844" w:type="dxa"/>
            <w:tcBorders>
              <w:top w:val="nil"/>
              <w:left w:val="nil"/>
              <w:bottom w:val="single" w:sz="4" w:space="0" w:color="auto"/>
              <w:right w:val="single" w:sz="4" w:space="0" w:color="auto"/>
            </w:tcBorders>
            <w:noWrap/>
            <w:vAlign w:val="center"/>
          </w:tcPr>
          <w:p w14:paraId="3568250A" w14:textId="02342BEA" w:rsidR="00C7013E" w:rsidRDefault="006E271F" w:rsidP="005F5528">
            <w:pPr>
              <w:ind w:firstLine="0"/>
              <w:jc w:val="right"/>
              <w:rPr>
                <w:rFonts w:ascii="Times New Roman" w:eastAsia="Times New Roman" w:hAnsi="Times New Roman" w:cs="Times New Roman"/>
                <w:sz w:val="20"/>
                <w:szCs w:val="20"/>
                <w:lang w:eastAsia="pt-BR"/>
              </w:rPr>
            </w:pPr>
            <w:r w:rsidRPr="006E271F">
              <w:rPr>
                <w:rFonts w:ascii="Times New Roman" w:eastAsia="Times New Roman" w:hAnsi="Times New Roman" w:cs="Times New Roman"/>
                <w:sz w:val="20"/>
                <w:szCs w:val="20"/>
                <w:lang w:eastAsia="pt-BR"/>
              </w:rPr>
              <w:t>1.200.831,06 </w:t>
            </w:r>
          </w:p>
        </w:tc>
        <w:tc>
          <w:tcPr>
            <w:tcW w:w="1700" w:type="dxa"/>
            <w:tcBorders>
              <w:top w:val="nil"/>
              <w:left w:val="nil"/>
              <w:bottom w:val="single" w:sz="4" w:space="0" w:color="auto"/>
              <w:right w:val="single" w:sz="4" w:space="0" w:color="auto"/>
            </w:tcBorders>
            <w:noWrap/>
            <w:vAlign w:val="center"/>
          </w:tcPr>
          <w:p w14:paraId="7761CBD1" w14:textId="3F7B3C38" w:rsidR="00C7013E" w:rsidRDefault="00620E06"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Precatórios/RPVs</w:t>
            </w:r>
          </w:p>
        </w:tc>
      </w:tr>
      <w:tr w:rsidR="00C7013E" w:rsidRPr="00321BD7" w14:paraId="030D931D" w14:textId="77777777" w:rsidTr="001F5E67">
        <w:trPr>
          <w:trHeight w:val="340"/>
          <w:jc w:val="center"/>
        </w:trPr>
        <w:tc>
          <w:tcPr>
            <w:tcW w:w="502" w:type="dxa"/>
            <w:tcBorders>
              <w:top w:val="nil"/>
              <w:left w:val="single" w:sz="4" w:space="0" w:color="auto"/>
              <w:bottom w:val="single" w:sz="4" w:space="0" w:color="auto"/>
              <w:right w:val="single" w:sz="4" w:space="0" w:color="auto"/>
            </w:tcBorders>
            <w:vAlign w:val="center"/>
          </w:tcPr>
          <w:p w14:paraId="12A182E3" w14:textId="5A5D5BB0" w:rsidR="00C7013E" w:rsidRDefault="00C7013E"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1406" w:type="dxa"/>
            <w:tcBorders>
              <w:top w:val="nil"/>
              <w:left w:val="single" w:sz="4" w:space="0" w:color="auto"/>
              <w:bottom w:val="single" w:sz="4" w:space="0" w:color="auto"/>
              <w:right w:val="single" w:sz="4" w:space="0" w:color="auto"/>
            </w:tcBorders>
            <w:vAlign w:val="center"/>
          </w:tcPr>
          <w:p w14:paraId="5926FC6E" w14:textId="3C177A41" w:rsidR="00C7013E" w:rsidRDefault="00C7013E"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319192</w:t>
            </w:r>
          </w:p>
        </w:tc>
        <w:tc>
          <w:tcPr>
            <w:tcW w:w="3899" w:type="dxa"/>
            <w:tcBorders>
              <w:top w:val="nil"/>
              <w:left w:val="nil"/>
              <w:bottom w:val="single" w:sz="4" w:space="0" w:color="auto"/>
              <w:right w:val="single" w:sz="4" w:space="0" w:color="auto"/>
            </w:tcBorders>
            <w:vAlign w:val="center"/>
          </w:tcPr>
          <w:p w14:paraId="47AEEA1E" w14:textId="4F0B72A9" w:rsidR="00C7013E" w:rsidRDefault="00C7013E" w:rsidP="005F5528">
            <w:pPr>
              <w:ind w:firstLine="0"/>
              <w:jc w:val="both"/>
              <w:rPr>
                <w:rFonts w:ascii="Times New Roman" w:eastAsia="Times New Roman" w:hAnsi="Times New Roman" w:cs="Times New Roman"/>
                <w:sz w:val="20"/>
                <w:szCs w:val="20"/>
                <w:lang w:eastAsia="pt-BR"/>
              </w:rPr>
            </w:pPr>
            <w:r w:rsidRPr="00C7013E">
              <w:rPr>
                <w:rFonts w:ascii="Times New Roman" w:eastAsia="Times New Roman" w:hAnsi="Times New Roman" w:cs="Times New Roman"/>
                <w:sz w:val="20"/>
                <w:szCs w:val="20"/>
                <w:lang w:eastAsia="pt-BR"/>
              </w:rPr>
              <w:t>Despesas de Ex</w:t>
            </w:r>
            <w:r>
              <w:rPr>
                <w:rFonts w:ascii="Times New Roman" w:eastAsia="Times New Roman" w:hAnsi="Times New Roman" w:cs="Times New Roman"/>
                <w:sz w:val="20"/>
                <w:szCs w:val="20"/>
                <w:lang w:eastAsia="pt-BR"/>
              </w:rPr>
              <w:t>.</w:t>
            </w:r>
            <w:r w:rsidRPr="00C7013E">
              <w:rPr>
                <w:rFonts w:ascii="Times New Roman" w:eastAsia="Times New Roman" w:hAnsi="Times New Roman" w:cs="Times New Roman"/>
                <w:sz w:val="20"/>
                <w:szCs w:val="20"/>
                <w:lang w:eastAsia="pt-BR"/>
              </w:rPr>
              <w:t xml:space="preserve"> Anteriores - Precatórios/RPV</w:t>
            </w:r>
          </w:p>
        </w:tc>
        <w:tc>
          <w:tcPr>
            <w:tcW w:w="1844" w:type="dxa"/>
            <w:tcBorders>
              <w:top w:val="nil"/>
              <w:left w:val="nil"/>
              <w:bottom w:val="single" w:sz="4" w:space="0" w:color="auto"/>
              <w:right w:val="single" w:sz="4" w:space="0" w:color="auto"/>
            </w:tcBorders>
            <w:noWrap/>
            <w:vAlign w:val="center"/>
          </w:tcPr>
          <w:p w14:paraId="1C5858CB" w14:textId="2E360E83" w:rsidR="00C7013E" w:rsidRDefault="006E271F" w:rsidP="005F5528">
            <w:pPr>
              <w:ind w:firstLine="0"/>
              <w:jc w:val="right"/>
              <w:rPr>
                <w:rFonts w:ascii="Times New Roman" w:eastAsia="Times New Roman" w:hAnsi="Times New Roman" w:cs="Times New Roman"/>
                <w:sz w:val="20"/>
                <w:szCs w:val="20"/>
                <w:lang w:eastAsia="pt-BR"/>
              </w:rPr>
            </w:pPr>
            <w:r w:rsidRPr="006E271F">
              <w:rPr>
                <w:rFonts w:ascii="Times New Roman" w:eastAsia="Times New Roman" w:hAnsi="Times New Roman" w:cs="Times New Roman"/>
                <w:sz w:val="20"/>
                <w:szCs w:val="20"/>
                <w:lang w:eastAsia="pt-BR"/>
              </w:rPr>
              <w:t>541.949,55</w:t>
            </w:r>
          </w:p>
        </w:tc>
        <w:tc>
          <w:tcPr>
            <w:tcW w:w="1700" w:type="dxa"/>
            <w:tcBorders>
              <w:top w:val="nil"/>
              <w:left w:val="nil"/>
              <w:bottom w:val="single" w:sz="4" w:space="0" w:color="auto"/>
              <w:right w:val="single" w:sz="4" w:space="0" w:color="auto"/>
            </w:tcBorders>
            <w:noWrap/>
            <w:vAlign w:val="center"/>
          </w:tcPr>
          <w:p w14:paraId="045319B3" w14:textId="04FE2F37" w:rsidR="00C7013E" w:rsidRDefault="00620E06"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Precatórios/RPVs</w:t>
            </w:r>
          </w:p>
        </w:tc>
      </w:tr>
      <w:tr w:rsidR="00DA71FB" w:rsidRPr="00321BD7" w14:paraId="178B6623" w14:textId="77777777" w:rsidTr="001F5E67">
        <w:trPr>
          <w:trHeight w:val="286"/>
          <w:jc w:val="center"/>
        </w:trPr>
        <w:tc>
          <w:tcPr>
            <w:tcW w:w="502" w:type="dxa"/>
            <w:tcBorders>
              <w:top w:val="nil"/>
              <w:left w:val="single" w:sz="4" w:space="0" w:color="auto"/>
              <w:bottom w:val="single" w:sz="4" w:space="0" w:color="auto"/>
              <w:right w:val="single" w:sz="4" w:space="0" w:color="auto"/>
            </w:tcBorders>
            <w:vAlign w:val="center"/>
          </w:tcPr>
          <w:p w14:paraId="43085028" w14:textId="104D411B" w:rsidR="00DA71FB" w:rsidRPr="00321BD7" w:rsidRDefault="00C7013E"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1406" w:type="dxa"/>
            <w:tcBorders>
              <w:top w:val="nil"/>
              <w:left w:val="single" w:sz="4" w:space="0" w:color="auto"/>
              <w:bottom w:val="single" w:sz="4" w:space="0" w:color="auto"/>
              <w:right w:val="single" w:sz="4" w:space="0" w:color="auto"/>
            </w:tcBorders>
            <w:vAlign w:val="center"/>
            <w:hideMark/>
          </w:tcPr>
          <w:p w14:paraId="30F7ED04" w14:textId="4B694177" w:rsidR="00DA71FB" w:rsidRPr="00321BD7" w:rsidRDefault="00C7013E"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339092</w:t>
            </w:r>
          </w:p>
        </w:tc>
        <w:tc>
          <w:tcPr>
            <w:tcW w:w="3899" w:type="dxa"/>
            <w:tcBorders>
              <w:top w:val="nil"/>
              <w:left w:val="nil"/>
              <w:bottom w:val="single" w:sz="4" w:space="0" w:color="auto"/>
              <w:right w:val="single" w:sz="4" w:space="0" w:color="auto"/>
            </w:tcBorders>
            <w:vAlign w:val="center"/>
            <w:hideMark/>
          </w:tcPr>
          <w:p w14:paraId="324C8E2B" w14:textId="6478C556" w:rsidR="00DA71FB" w:rsidRPr="00321BD7" w:rsidRDefault="00C7013E" w:rsidP="005F5528">
            <w:pPr>
              <w:ind w:firstLine="0"/>
              <w:jc w:val="both"/>
              <w:rPr>
                <w:rFonts w:ascii="Times New Roman" w:eastAsia="Times New Roman" w:hAnsi="Times New Roman" w:cs="Times New Roman"/>
                <w:sz w:val="20"/>
                <w:szCs w:val="20"/>
                <w:lang w:eastAsia="pt-BR"/>
              </w:rPr>
            </w:pPr>
            <w:r w:rsidRPr="00C7013E">
              <w:rPr>
                <w:rFonts w:ascii="Times New Roman" w:eastAsia="Times New Roman" w:hAnsi="Times New Roman" w:cs="Times New Roman"/>
                <w:sz w:val="20"/>
                <w:szCs w:val="20"/>
                <w:lang w:eastAsia="pt-BR"/>
              </w:rPr>
              <w:t>Despesas de Ex</w:t>
            </w:r>
            <w:r>
              <w:rPr>
                <w:rFonts w:ascii="Times New Roman" w:eastAsia="Times New Roman" w:hAnsi="Times New Roman" w:cs="Times New Roman"/>
                <w:sz w:val="20"/>
                <w:szCs w:val="20"/>
                <w:lang w:eastAsia="pt-BR"/>
              </w:rPr>
              <w:t>.</w:t>
            </w:r>
            <w:r w:rsidRPr="00C7013E">
              <w:rPr>
                <w:rFonts w:ascii="Times New Roman" w:eastAsia="Times New Roman" w:hAnsi="Times New Roman" w:cs="Times New Roman"/>
                <w:sz w:val="20"/>
                <w:szCs w:val="20"/>
                <w:lang w:eastAsia="pt-BR"/>
              </w:rPr>
              <w:t xml:space="preserve"> Anteriores - Precatórios/RPV</w:t>
            </w:r>
          </w:p>
        </w:tc>
        <w:tc>
          <w:tcPr>
            <w:tcW w:w="1844" w:type="dxa"/>
            <w:tcBorders>
              <w:top w:val="nil"/>
              <w:left w:val="nil"/>
              <w:bottom w:val="single" w:sz="4" w:space="0" w:color="auto"/>
              <w:right w:val="single" w:sz="4" w:space="0" w:color="auto"/>
            </w:tcBorders>
            <w:noWrap/>
            <w:vAlign w:val="center"/>
          </w:tcPr>
          <w:p w14:paraId="3DF6C7AF" w14:textId="16968707" w:rsidR="00DA71FB" w:rsidRPr="00321BD7" w:rsidRDefault="006E271F" w:rsidP="005F5528">
            <w:pPr>
              <w:ind w:firstLine="0"/>
              <w:jc w:val="right"/>
              <w:rPr>
                <w:rFonts w:ascii="Times New Roman" w:eastAsia="Times New Roman" w:hAnsi="Times New Roman" w:cs="Times New Roman"/>
                <w:sz w:val="20"/>
                <w:szCs w:val="20"/>
                <w:lang w:eastAsia="pt-BR"/>
              </w:rPr>
            </w:pPr>
            <w:r w:rsidRPr="006E271F">
              <w:rPr>
                <w:rFonts w:ascii="Times New Roman" w:eastAsia="Times New Roman" w:hAnsi="Times New Roman" w:cs="Times New Roman"/>
                <w:sz w:val="20"/>
                <w:szCs w:val="20"/>
                <w:lang w:eastAsia="pt-BR"/>
              </w:rPr>
              <w:t>37.676.671,25</w:t>
            </w:r>
          </w:p>
        </w:tc>
        <w:tc>
          <w:tcPr>
            <w:tcW w:w="1700" w:type="dxa"/>
            <w:tcBorders>
              <w:top w:val="nil"/>
              <w:left w:val="nil"/>
              <w:bottom w:val="single" w:sz="4" w:space="0" w:color="auto"/>
              <w:right w:val="single" w:sz="4" w:space="0" w:color="auto"/>
            </w:tcBorders>
            <w:noWrap/>
            <w:vAlign w:val="center"/>
            <w:hideMark/>
          </w:tcPr>
          <w:p w14:paraId="3F576A07" w14:textId="77777777" w:rsidR="00DA71FB" w:rsidRPr="00321BD7" w:rsidRDefault="00DA71FB" w:rsidP="005F5528">
            <w:pPr>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Precatórios/RPVs</w:t>
            </w:r>
          </w:p>
        </w:tc>
      </w:tr>
    </w:tbl>
    <w:p w14:paraId="3E6237A8" w14:textId="0CA2A8EC" w:rsidR="009C6652" w:rsidRPr="005F5528" w:rsidRDefault="001F5E67" w:rsidP="001F5E67">
      <w:pPr>
        <w:ind w:right="120"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lang w:eastAsia="pt-BR"/>
        </w:rPr>
        <w:t xml:space="preserve">  </w:t>
      </w:r>
      <w:r w:rsidR="009C6652">
        <w:rPr>
          <w:rFonts w:ascii="Times New Roman" w:eastAsia="Times New Roman" w:hAnsi="Times New Roman" w:cs="Times New Roman"/>
          <w:color w:val="000000"/>
          <w:sz w:val="20"/>
          <w:szCs w:val="20"/>
          <w:lang w:eastAsia="pt-BR"/>
        </w:rPr>
        <w:t>Fonte: P</w:t>
      </w:r>
      <w:r w:rsidR="009C6652" w:rsidRPr="00EE3DC2">
        <w:rPr>
          <w:rFonts w:ascii="Times New Roman" w:eastAsia="Times New Roman" w:hAnsi="Times New Roman" w:cs="Times New Roman"/>
          <w:color w:val="000000"/>
          <w:sz w:val="20"/>
          <w:szCs w:val="20"/>
          <w:lang w:eastAsia="pt-BR"/>
        </w:rPr>
        <w:t>320.1 - Materialidade - 31/07/202</w:t>
      </w:r>
      <w:r w:rsidR="009C6652">
        <w:rPr>
          <w:rFonts w:ascii="Times New Roman" w:eastAsia="Times New Roman" w:hAnsi="Times New Roman" w:cs="Times New Roman"/>
          <w:color w:val="000000"/>
          <w:sz w:val="20"/>
          <w:szCs w:val="20"/>
          <w:lang w:eastAsia="pt-BR"/>
        </w:rPr>
        <w:t xml:space="preserve">5 (id. </w:t>
      </w:r>
      <w:r w:rsidR="009C6652" w:rsidRPr="00BD7386">
        <w:rPr>
          <w:rFonts w:ascii="Times New Roman" w:hAnsi="Times New Roman" w:cs="Times New Roman"/>
          <w:sz w:val="20"/>
          <w:szCs w:val="20"/>
        </w:rPr>
        <w:t>1337275</w:t>
      </w:r>
      <w:r w:rsidR="009C6652" w:rsidRPr="00EE3DC2">
        <w:rPr>
          <w:rFonts w:ascii="Times New Roman" w:eastAsia="Times New Roman" w:hAnsi="Times New Roman" w:cs="Times New Roman"/>
          <w:color w:val="000000"/>
          <w:sz w:val="20"/>
          <w:szCs w:val="20"/>
          <w:lang w:eastAsia="pt-BR"/>
        </w:rPr>
        <w:t>)</w:t>
      </w:r>
    </w:p>
    <w:p w14:paraId="1D37731A" w14:textId="77777777" w:rsidR="001F2898" w:rsidRDefault="001F2898" w:rsidP="00947D05">
      <w:pPr>
        <w:ind w:right="45" w:firstLine="0"/>
        <w:jc w:val="both"/>
      </w:pPr>
    </w:p>
    <w:p w14:paraId="73476F6E" w14:textId="77777777" w:rsidR="001F2898" w:rsidRDefault="00A61C3A" w:rsidP="004B1E97">
      <w:pPr>
        <w:pStyle w:val="NormalWeb"/>
        <w:spacing w:before="240" w:beforeAutospacing="0" w:after="0" w:afterAutospacing="0"/>
        <w:ind w:left="108" w:right="108" w:firstLine="0"/>
        <w:jc w:val="both"/>
      </w:pPr>
      <w:bookmarkStart w:id="35" w:name="_Toc67064394"/>
      <w:r w:rsidRPr="005D6AF0">
        <w:rPr>
          <w:b/>
          <w:bCs/>
          <w:color w:val="000000"/>
        </w:rPr>
        <w:t>III - ABORDAGEM DE AUDITORIA</w:t>
      </w:r>
      <w:bookmarkEnd w:id="35"/>
    </w:p>
    <w:p w14:paraId="168AB7A3" w14:textId="77777777" w:rsidR="001F2898" w:rsidRDefault="00A61C3A" w:rsidP="00947D05">
      <w:pPr>
        <w:pStyle w:val="NormalWeb"/>
        <w:spacing w:before="240" w:beforeAutospacing="0" w:after="0" w:afterAutospacing="0"/>
        <w:ind w:left="108" w:right="108" w:firstLine="600"/>
        <w:jc w:val="both"/>
      </w:pPr>
      <w:r w:rsidRPr="005D6AF0">
        <w:rPr>
          <w:color w:val="000000"/>
        </w:rPr>
        <w:t xml:space="preserve">O objetivo do auditor ao executar os procedimentos substantivos é obter evidência de auditoria suficiente e apropriada de que não há distorções relevantes no nível das afirmações específicas relacionadas a classes de transações, saldos contábeis e divulgações. O procedimento </w:t>
      </w:r>
      <w:r w:rsidRPr="005D6AF0">
        <w:rPr>
          <w:color w:val="000000"/>
        </w:rPr>
        <w:lastRenderedPageBreak/>
        <w:t xml:space="preserve">substantivo é, conforme definição contida no item 4 </w:t>
      </w:r>
      <w:r w:rsidRPr="00295C2E">
        <w:rPr>
          <w:color w:val="000000"/>
        </w:rPr>
        <w:t xml:space="preserve">da </w:t>
      </w:r>
      <w:hyperlink r:id="rId60" w:tgtFrame="_blank" w:history="1">
        <w:r w:rsidR="00295C2E" w:rsidRPr="00295C2E">
          <w:rPr>
            <w:rStyle w:val="Hyperlink"/>
          </w:rPr>
          <w:t>NBC TA 330</w:t>
        </w:r>
      </w:hyperlink>
      <w:r w:rsidRPr="00295C2E">
        <w:rPr>
          <w:color w:val="000000"/>
        </w:rPr>
        <w:t>,</w:t>
      </w:r>
      <w:r w:rsidRPr="005D6AF0">
        <w:rPr>
          <w:color w:val="000000"/>
        </w:rPr>
        <w:t xml:space="preserve"> “o procedimento de auditoria planejado para detectar distorções relevantes no nível de afirmações”, que incluem os “testes de detalhes e procedimentos analíticos substantivos”.</w:t>
      </w:r>
    </w:p>
    <w:p w14:paraId="62B3B89C" w14:textId="77777777" w:rsidR="001F2898" w:rsidRDefault="00A61C3A" w:rsidP="00947D05">
      <w:pPr>
        <w:pStyle w:val="NormalWeb"/>
        <w:spacing w:before="240" w:beforeAutospacing="0" w:after="0" w:afterAutospacing="0"/>
        <w:ind w:left="108" w:right="108" w:firstLine="600"/>
        <w:jc w:val="both"/>
      </w:pPr>
      <w:r w:rsidRPr="005D6AF0">
        <w:rPr>
          <w:color w:val="000000"/>
        </w:rPr>
        <w:t>Os testes de detalhes são procedimentos substantivos planejados para obter evidência de auditoria referente a afirmações, tais como</w:t>
      </w:r>
      <w:r w:rsidR="00E45EB7">
        <w:rPr>
          <w:color w:val="000000"/>
        </w:rPr>
        <w:t>:</w:t>
      </w:r>
      <w:r w:rsidRPr="005D6AF0">
        <w:rPr>
          <w:color w:val="000000"/>
        </w:rPr>
        <w:t xml:space="preserve"> existência, precisão e avaliação de valores das demonstrações financeiras. Já os procedimentos analíticos substantivos são utilizados para identificar operações ou saldos anormais por meio da comparação de saldos ou da evolução de determinadas contas ao longo do período.</w:t>
      </w:r>
    </w:p>
    <w:p w14:paraId="23BE350E" w14:textId="77777777" w:rsidR="001F2898" w:rsidRDefault="00A61C3A" w:rsidP="00947D05">
      <w:pPr>
        <w:pStyle w:val="NormalWeb"/>
        <w:spacing w:before="240" w:beforeAutospacing="0" w:after="0" w:afterAutospacing="0"/>
        <w:ind w:left="108" w:right="108" w:firstLine="600"/>
        <w:jc w:val="both"/>
      </w:pPr>
      <w:r w:rsidRPr="005D6AF0">
        <w:t>Já o teste de controle busca avaliar a efetividade operacional dos controles na prevenção ou detecção e correção de distorções rel</w:t>
      </w:r>
      <w:r w:rsidR="00145639">
        <w:t>evantes no nível de afirmações.</w:t>
      </w:r>
    </w:p>
    <w:p w14:paraId="530621A4" w14:textId="004EC383" w:rsidR="00947D05" w:rsidRPr="002F6FC9" w:rsidRDefault="00A61C3A" w:rsidP="002F6FC9">
      <w:pPr>
        <w:pStyle w:val="NormalWeb"/>
        <w:spacing w:before="240" w:beforeAutospacing="0" w:after="0" w:afterAutospacing="0"/>
        <w:ind w:left="108" w:right="108" w:firstLine="600"/>
        <w:jc w:val="both"/>
      </w:pPr>
      <w:r w:rsidRPr="005D6AF0">
        <w:t>A equipe de auditoria decidiu pela abordagem combinada entre testes de efetividade de controle e testes substantivos para os ciclos contábeis selecionados e suas respectivas contas contábeis</w:t>
      </w:r>
      <w:r w:rsidR="00A6652E">
        <w:t>,</w:t>
      </w:r>
      <w:r w:rsidRPr="005D6AF0">
        <w:t xml:space="preserve"> conforme documentado nos Programas de Auditoria</w:t>
      </w:r>
      <w:r w:rsidR="00203C4B">
        <w:t xml:space="preserve">: </w:t>
      </w:r>
      <w:r w:rsidR="002F6FC9" w:rsidRPr="002F6FC9">
        <w:rPr>
          <w:color w:val="000000"/>
        </w:rPr>
        <w:t>Gestão de pessoal (id. </w:t>
      </w:r>
      <w:r w:rsidR="008B70EC" w:rsidRPr="008B70EC">
        <w:rPr>
          <w:color w:val="000000"/>
        </w:rPr>
        <w:t>1376559</w:t>
      </w:r>
      <w:r w:rsidR="002F6FC9" w:rsidRPr="002F6FC9">
        <w:rPr>
          <w:color w:val="000000"/>
        </w:rPr>
        <w:t>), Gestão do patrimônio (id. </w:t>
      </w:r>
      <w:r w:rsidR="008B70EC" w:rsidRPr="008B70EC">
        <w:rPr>
          <w:color w:val="000000"/>
        </w:rPr>
        <w:t>1363788</w:t>
      </w:r>
      <w:r w:rsidR="002F6FC9" w:rsidRPr="002F6FC9">
        <w:rPr>
          <w:color w:val="000000"/>
        </w:rPr>
        <w:t>), Gestão das contratações (id.</w:t>
      </w:r>
      <w:r w:rsidR="008B70EC">
        <w:rPr>
          <w:color w:val="000000"/>
        </w:rPr>
        <w:t xml:space="preserve"> </w:t>
      </w:r>
      <w:r w:rsidR="008B70EC" w:rsidRPr="008B70EC">
        <w:rPr>
          <w:color w:val="000000"/>
        </w:rPr>
        <w:t>1547984</w:t>
      </w:r>
      <w:r w:rsidR="002F6FC9" w:rsidRPr="002F6FC9">
        <w:rPr>
          <w:color w:val="000000"/>
        </w:rPr>
        <w:t>) e Gestão de precatórios e RPVs (id.</w:t>
      </w:r>
      <w:r w:rsidR="008B70EC">
        <w:rPr>
          <w:color w:val="000000"/>
        </w:rPr>
        <w:t xml:space="preserve"> </w:t>
      </w:r>
      <w:r w:rsidR="008B70EC" w:rsidRPr="008B70EC">
        <w:rPr>
          <w:color w:val="000000"/>
        </w:rPr>
        <w:t>1417632</w:t>
      </w:r>
      <w:r w:rsidR="002F6FC9" w:rsidRPr="002F6FC9">
        <w:rPr>
          <w:color w:val="000000"/>
        </w:rPr>
        <w:t>)</w:t>
      </w:r>
      <w:r w:rsidR="008B70EC">
        <w:rPr>
          <w:color w:val="000000"/>
        </w:rPr>
        <w:t>.</w:t>
      </w:r>
    </w:p>
    <w:p w14:paraId="2D457C54" w14:textId="77777777" w:rsidR="00A076DC" w:rsidRDefault="00A61C3A" w:rsidP="00A076DC">
      <w:pPr>
        <w:pStyle w:val="NormalWeb"/>
        <w:spacing w:before="0" w:beforeAutospacing="0" w:after="0" w:afterAutospacing="0"/>
        <w:ind w:left="108" w:right="108" w:firstLine="0"/>
        <w:jc w:val="both"/>
      </w:pPr>
      <w:r w:rsidRPr="005D6AF0">
        <w:t>​</w:t>
      </w:r>
      <w:bookmarkStart w:id="36" w:name="_Toc67064395"/>
      <w:r w:rsidR="003A27CE">
        <w:tab/>
      </w:r>
    </w:p>
    <w:p w14:paraId="5DBF5DA2" w14:textId="77777777" w:rsidR="001F2898" w:rsidRDefault="00A61C3A" w:rsidP="004B1E97">
      <w:pPr>
        <w:pStyle w:val="NormalWeb"/>
        <w:spacing w:before="240" w:beforeAutospacing="0" w:after="0" w:afterAutospacing="0"/>
        <w:ind w:left="108" w:right="108" w:firstLine="0"/>
        <w:jc w:val="both"/>
      </w:pPr>
      <w:r w:rsidRPr="005D6AF0">
        <w:rPr>
          <w:b/>
          <w:bCs/>
          <w:color w:val="000000"/>
        </w:rPr>
        <w:t>IV - AVALIAÇÃO E RESPOSTA AOS RISCOS DE DISTORÇÕES RELEVANTES</w:t>
      </w:r>
      <w:bookmarkEnd w:id="36"/>
    </w:p>
    <w:p w14:paraId="1177F5C2" w14:textId="465369DB" w:rsidR="001F2898" w:rsidRDefault="002909CF" w:rsidP="00DE1C82">
      <w:pPr>
        <w:pStyle w:val="NormalWeb"/>
        <w:spacing w:before="240" w:beforeAutospacing="0" w:after="0" w:afterAutospacing="0"/>
        <w:ind w:left="108" w:right="108" w:firstLine="600"/>
        <w:jc w:val="both"/>
      </w:pPr>
      <w:r>
        <w:rPr>
          <w:color w:val="000000"/>
        </w:rPr>
        <w:t>F</w:t>
      </w:r>
      <w:r w:rsidR="00A61C3A" w:rsidRPr="005D6AF0">
        <w:rPr>
          <w:color w:val="000000"/>
        </w:rPr>
        <w:t xml:space="preserve">oram identificados os riscos inerentes relacionados aos ciclos de gestão de </w:t>
      </w:r>
      <w:r>
        <w:rPr>
          <w:color w:val="000000"/>
        </w:rPr>
        <w:t>pessoal, gestão do patrimôni</w:t>
      </w:r>
      <w:r w:rsidR="00DC7E1B">
        <w:rPr>
          <w:color w:val="000000"/>
        </w:rPr>
        <w:t>o</w:t>
      </w:r>
      <w:r>
        <w:rPr>
          <w:color w:val="000000"/>
        </w:rPr>
        <w:t xml:space="preserve">, </w:t>
      </w:r>
      <w:r w:rsidR="00A61C3A" w:rsidRPr="005D6AF0">
        <w:rPr>
          <w:color w:val="000000"/>
        </w:rPr>
        <w:t>gestão das contratações</w:t>
      </w:r>
      <w:r>
        <w:rPr>
          <w:color w:val="000000"/>
        </w:rPr>
        <w:t xml:space="preserve"> e gestão de precatórios e RPVs</w:t>
      </w:r>
      <w:r w:rsidR="00A61C3A" w:rsidRPr="005D6AF0">
        <w:rPr>
          <w:color w:val="000000"/>
        </w:rPr>
        <w:t>, conforme as afirmações de</w:t>
      </w:r>
      <w:r>
        <w:rPr>
          <w:color w:val="000000"/>
        </w:rPr>
        <w:t xml:space="preserve"> Existência/Ocorrência, Integridade, Precisão</w:t>
      </w:r>
      <w:r w:rsidR="00A61C3A" w:rsidRPr="005D6AF0">
        <w:rPr>
          <w:color w:val="000000"/>
        </w:rPr>
        <w:t>, Corte, Classificação, Direitos e Obrigações e Conformidade</w:t>
      </w:r>
      <w:r w:rsidR="00001762">
        <w:rPr>
          <w:color w:val="000000"/>
        </w:rPr>
        <w:t xml:space="preserve">, </w:t>
      </w:r>
      <w:r w:rsidR="00A61C3A" w:rsidRPr="005D6AF0">
        <w:rPr>
          <w:color w:val="000000"/>
        </w:rPr>
        <w:t xml:space="preserve">utilizando-se do julgamento profissional dos membros da equipe de auditoria. Em seguida foram avaliados os riscos de </w:t>
      </w:r>
      <w:r w:rsidR="001B7D31">
        <w:rPr>
          <w:color w:val="000000"/>
        </w:rPr>
        <w:t>distorções</w:t>
      </w:r>
      <w:r w:rsidR="00A61C3A" w:rsidRPr="005D6AF0">
        <w:rPr>
          <w:color w:val="000000"/>
        </w:rPr>
        <w:t xml:space="preserve"> relevantes nas demonstrações contábeis, financeiras e orçamentárias e em relação à conformidade das operações, transações ou atos de gestão relevantes dos responsáveis, independentemente se causadas por fraude ou erro. Após avaliação do impacto, da probabilidade e do risco residual, foram definidos o nível aceitável de risco e os testes substantivos necessários para avaliação dos saldos das contas contábeis relacionadas aos ciclos selecionados (id</w:t>
      </w:r>
      <w:r w:rsidR="00511D96">
        <w:rPr>
          <w:color w:val="000000"/>
        </w:rPr>
        <w:t>s</w:t>
      </w:r>
      <w:r w:rsidR="00A61C3A" w:rsidRPr="005D6AF0">
        <w:rPr>
          <w:color w:val="000000"/>
        </w:rPr>
        <w:t>.</w:t>
      </w:r>
      <w:r w:rsidR="00001762">
        <w:rPr>
          <w:color w:val="000000"/>
        </w:rPr>
        <w:t xml:space="preserve"> </w:t>
      </w:r>
      <w:r w:rsidR="00001762" w:rsidRPr="00001762">
        <w:rPr>
          <w:color w:val="000000"/>
        </w:rPr>
        <w:t>1376558</w:t>
      </w:r>
      <w:r w:rsidR="00001762">
        <w:rPr>
          <w:color w:val="000000"/>
        </w:rPr>
        <w:t xml:space="preserve">, </w:t>
      </w:r>
      <w:r w:rsidR="00001762" w:rsidRPr="00001762">
        <w:rPr>
          <w:color w:val="000000"/>
        </w:rPr>
        <w:t>1363787</w:t>
      </w:r>
      <w:r w:rsidR="00001762">
        <w:rPr>
          <w:color w:val="000000"/>
        </w:rPr>
        <w:t xml:space="preserve">, </w:t>
      </w:r>
      <w:r w:rsidR="00001762" w:rsidRPr="00001762">
        <w:rPr>
          <w:color w:val="000000"/>
        </w:rPr>
        <w:t>1547983</w:t>
      </w:r>
      <w:r w:rsidR="00001762">
        <w:rPr>
          <w:color w:val="000000"/>
        </w:rPr>
        <w:t xml:space="preserve"> e </w:t>
      </w:r>
      <w:r w:rsidR="00001762" w:rsidRPr="00001762">
        <w:t>1417631</w:t>
      </w:r>
      <w:r w:rsidR="00A61C3A" w:rsidRPr="009954C9">
        <w:rPr>
          <w:color w:val="000000"/>
        </w:rPr>
        <w:t>)</w:t>
      </w:r>
      <w:r w:rsidR="00A61C3A" w:rsidRPr="005D6AF0">
        <w:rPr>
          <w:color w:val="000000"/>
        </w:rPr>
        <w:t>.</w:t>
      </w:r>
    </w:p>
    <w:p w14:paraId="421BC827" w14:textId="03008946" w:rsidR="00D15350" w:rsidRPr="00662E40" w:rsidRDefault="00A61C3A" w:rsidP="00DE1C82">
      <w:pPr>
        <w:pStyle w:val="NormalWeb"/>
        <w:spacing w:before="240" w:beforeAutospacing="0" w:after="0" w:afterAutospacing="0"/>
        <w:ind w:left="108" w:right="108" w:firstLine="600"/>
        <w:jc w:val="both"/>
      </w:pPr>
      <w:r w:rsidRPr="005D6AF0">
        <w:rPr>
          <w:color w:val="000000"/>
        </w:rPr>
        <w:t>Com base nos resultados da avaliação de risco, planejamos e executamos procedimentos de auditoria em resposta aos riscos significativos de maneira a obter evidência de auditoria suficiente e apropriada para suportar as conclusões da auditoria, conforme documentado nos Programas de Auditoria </w:t>
      </w:r>
      <w:r w:rsidR="00D15350">
        <w:rPr>
          <w:color w:val="000000"/>
        </w:rPr>
        <w:t>(</w:t>
      </w:r>
      <w:r w:rsidR="00D15350">
        <w:t>ids</w:t>
      </w:r>
      <w:r w:rsidR="00D15350" w:rsidRPr="002F6FC9">
        <w:t xml:space="preserve">. </w:t>
      </w:r>
      <w:r w:rsidR="00C6332A" w:rsidRPr="008B70EC">
        <w:rPr>
          <w:color w:val="000000"/>
        </w:rPr>
        <w:t>1376559</w:t>
      </w:r>
      <w:r w:rsidR="002F6FC9" w:rsidRPr="002F6FC9">
        <w:rPr>
          <w:color w:val="000000"/>
        </w:rPr>
        <w:t>, </w:t>
      </w:r>
      <w:r w:rsidR="00C6332A" w:rsidRPr="008B70EC">
        <w:rPr>
          <w:color w:val="000000"/>
        </w:rPr>
        <w:t>1363788</w:t>
      </w:r>
      <w:r w:rsidR="002F6FC9" w:rsidRPr="002F6FC9">
        <w:rPr>
          <w:color w:val="000000"/>
        </w:rPr>
        <w:t>, </w:t>
      </w:r>
      <w:r w:rsidR="00C6332A" w:rsidRPr="008B70EC">
        <w:rPr>
          <w:color w:val="000000"/>
        </w:rPr>
        <w:t>1547984</w:t>
      </w:r>
      <w:r w:rsidR="002F6FC9" w:rsidRPr="002F6FC9">
        <w:rPr>
          <w:color w:val="000000"/>
        </w:rPr>
        <w:t> e </w:t>
      </w:r>
      <w:r w:rsidR="00C6332A" w:rsidRPr="008B70EC">
        <w:rPr>
          <w:color w:val="000000"/>
        </w:rPr>
        <w:t>1417632</w:t>
      </w:r>
      <w:r w:rsidR="00D15350" w:rsidRPr="00662E40">
        <w:t>).</w:t>
      </w:r>
    </w:p>
    <w:p w14:paraId="3EDA4E3E" w14:textId="77777777" w:rsidR="001F2898" w:rsidRDefault="00A61C3A" w:rsidP="00DE1C82">
      <w:pPr>
        <w:pStyle w:val="NormalWeb"/>
        <w:spacing w:before="240" w:beforeAutospacing="0" w:after="0" w:afterAutospacing="0"/>
        <w:ind w:left="108" w:right="108" w:firstLine="600"/>
        <w:jc w:val="both"/>
      </w:pPr>
      <w:r w:rsidRPr="005D6AF0">
        <w:rPr>
          <w:color w:val="000000"/>
        </w:rPr>
        <w:t>Esses procedimentos de auditoria incluíram </w:t>
      </w:r>
      <w:r w:rsidRPr="005D6AF0">
        <w:t>indagações por meio do aplicativo Teams</w:t>
      </w:r>
      <w:r w:rsidR="007B6B92">
        <w:t>,</w:t>
      </w:r>
      <w:r w:rsidRPr="005D6AF0">
        <w:t xml:space="preserve"> </w:t>
      </w:r>
      <w:r w:rsidR="007B6B92">
        <w:t xml:space="preserve">encaminhamento </w:t>
      </w:r>
      <w:r w:rsidRPr="005D6AF0">
        <w:t>de solicitações de auditoria nos processos eletrônicos,</w:t>
      </w:r>
      <w:r w:rsidRPr="005D6AF0">
        <w:rPr>
          <w:color w:val="000000"/>
        </w:rPr>
        <w:t xml:space="preserve"> exame documental, conferência de cálculos, conciliações, recálculo, reexecução de procedimentos, procedimentos analíticos (testes de detalhes/saldos contábeis, análises horizontal e vertical)</w:t>
      </w:r>
      <w:r w:rsidRPr="005D6AF0">
        <w:t xml:space="preserve"> </w:t>
      </w:r>
      <w:r w:rsidRPr="005D6AF0">
        <w:rPr>
          <w:color w:val="000000"/>
        </w:rPr>
        <w:t xml:space="preserve">e </w:t>
      </w:r>
      <w:r w:rsidR="00B4438F">
        <w:rPr>
          <w:color w:val="000000"/>
        </w:rPr>
        <w:t xml:space="preserve">avaliação </w:t>
      </w:r>
      <w:r w:rsidRPr="005D6AF0">
        <w:rPr>
          <w:color w:val="000000"/>
        </w:rPr>
        <w:t>de amostragem</w:t>
      </w:r>
      <w:r w:rsidR="007227E7">
        <w:rPr>
          <w:color w:val="000000"/>
        </w:rPr>
        <w:t xml:space="preserve"> estatística </w:t>
      </w:r>
      <w:r w:rsidR="007F783D">
        <w:rPr>
          <w:color w:val="000000"/>
        </w:rPr>
        <w:t xml:space="preserve">e </w:t>
      </w:r>
      <w:r w:rsidR="007F783D" w:rsidRPr="005D6AF0">
        <w:rPr>
          <w:color w:val="000000"/>
        </w:rPr>
        <w:t>não</w:t>
      </w:r>
      <w:r w:rsidRPr="005D6AF0">
        <w:rPr>
          <w:color w:val="000000"/>
        </w:rPr>
        <w:t xml:space="preserve"> estatística (julgamento profissional) para testes de conformidade.</w:t>
      </w:r>
    </w:p>
    <w:p w14:paraId="57F884B4" w14:textId="77777777" w:rsidR="001F2898" w:rsidRDefault="00626DCF" w:rsidP="004B1E97">
      <w:pPr>
        <w:pStyle w:val="NormalWeb"/>
        <w:spacing w:before="240" w:beforeAutospacing="0" w:after="0" w:afterAutospacing="0"/>
        <w:ind w:left="108" w:right="108" w:firstLine="0"/>
        <w:jc w:val="both"/>
      </w:pPr>
      <w:bookmarkStart w:id="37" w:name="_Toc67064396"/>
      <w:r>
        <w:tab/>
      </w:r>
      <w:r w:rsidRPr="00626DCF">
        <w:t>No tocante às contas e/ou ciclos contábeis não significativos, a evidência de auditoria foi obtida mediante a aplicação de procedimentos de revisão</w:t>
      </w:r>
      <w:r w:rsidR="00A575C5">
        <w:t xml:space="preserve"> analítica.</w:t>
      </w:r>
    </w:p>
    <w:p w14:paraId="7407C19B" w14:textId="77777777" w:rsidR="005C026C" w:rsidRDefault="005C026C" w:rsidP="00DE1C82">
      <w:pPr>
        <w:pStyle w:val="NormalWeb"/>
        <w:spacing w:before="0" w:beforeAutospacing="0" w:after="0" w:afterAutospacing="0"/>
        <w:ind w:left="108" w:right="108" w:firstLine="0"/>
        <w:jc w:val="both"/>
        <w:rPr>
          <w:b/>
          <w:bCs/>
          <w:color w:val="000000"/>
        </w:rPr>
      </w:pPr>
    </w:p>
    <w:p w14:paraId="689B5DCD" w14:textId="77777777" w:rsidR="001F2898" w:rsidRDefault="00A61C3A" w:rsidP="004B1E97">
      <w:pPr>
        <w:pStyle w:val="NormalWeb"/>
        <w:spacing w:before="240" w:beforeAutospacing="0" w:after="0" w:afterAutospacing="0"/>
        <w:ind w:left="108" w:right="108" w:firstLine="0"/>
        <w:jc w:val="both"/>
      </w:pPr>
      <w:r w:rsidRPr="005D6AF0">
        <w:rPr>
          <w:b/>
          <w:bCs/>
          <w:color w:val="000000"/>
        </w:rPr>
        <w:t>V - FORMAÇÃO DAS OPINIÕES E COMUNICAÇÕES À ADMINISTRAÇÃO</w:t>
      </w:r>
      <w:bookmarkEnd w:id="37"/>
    </w:p>
    <w:p w14:paraId="2B6A837A" w14:textId="2966A959" w:rsidR="001F2898" w:rsidRDefault="00A61C3A" w:rsidP="00DE1C82">
      <w:pPr>
        <w:pStyle w:val="NormalWeb"/>
        <w:spacing w:before="240" w:beforeAutospacing="0" w:after="0" w:afterAutospacing="0"/>
        <w:ind w:left="108" w:right="108" w:firstLine="600"/>
        <w:jc w:val="both"/>
      </w:pPr>
      <w:r w:rsidRPr="005D6AF0">
        <w:rPr>
          <w:color w:val="000000"/>
        </w:rPr>
        <w:t>As distorções e as não conformidades detectadas na primeira etapa do tra</w:t>
      </w:r>
      <w:r w:rsidR="00007F00">
        <w:rPr>
          <w:color w:val="000000"/>
        </w:rPr>
        <w:t>balho (agosto a novembro de 202</w:t>
      </w:r>
      <w:r w:rsidR="001C419E">
        <w:rPr>
          <w:color w:val="000000"/>
        </w:rPr>
        <w:t>5</w:t>
      </w:r>
      <w:r w:rsidRPr="005D6AF0">
        <w:rPr>
          <w:color w:val="000000"/>
        </w:rPr>
        <w:t>) foram comunicadas à administração</w:t>
      </w:r>
      <w:r w:rsidR="00322485">
        <w:rPr>
          <w:color w:val="000000"/>
        </w:rPr>
        <w:t xml:space="preserve"> e às unidades auditadas</w:t>
      </w:r>
      <w:r w:rsidRPr="005D6AF0">
        <w:rPr>
          <w:color w:val="000000"/>
        </w:rPr>
        <w:t xml:space="preserve"> do TRF6 por meio do Relatório Preliminar de Comunicado de Distorções (</w:t>
      </w:r>
      <w:r w:rsidR="00442D6D">
        <w:rPr>
          <w:color w:val="000000"/>
        </w:rPr>
        <w:t>id. </w:t>
      </w:r>
      <w:r w:rsidR="001C419E" w:rsidRPr="001C419E">
        <w:rPr>
          <w:color w:val="000000"/>
        </w:rPr>
        <w:t>1527726</w:t>
      </w:r>
      <w:r w:rsidRPr="005D4ADE">
        <w:rPr>
          <w:color w:val="000000"/>
        </w:rPr>
        <w:t>)</w:t>
      </w:r>
      <w:r w:rsidR="00322485">
        <w:rPr>
          <w:color w:val="000000"/>
        </w:rPr>
        <w:t xml:space="preserve">. Além disso, foram emitidas às unidades auditadas </w:t>
      </w:r>
      <w:r w:rsidRPr="00623540">
        <w:t xml:space="preserve">Solicitações </w:t>
      </w:r>
      <w:r w:rsidR="00C41644" w:rsidRPr="00623540">
        <w:t xml:space="preserve">e Notas </w:t>
      </w:r>
      <w:r w:rsidRPr="00623540">
        <w:t>de Auditoria</w:t>
      </w:r>
      <w:r w:rsidR="00322485">
        <w:t>, relacionada</w:t>
      </w:r>
      <w:r w:rsidR="00321C91" w:rsidRPr="00623540">
        <w:t>s</w:t>
      </w:r>
      <w:r w:rsidR="00C41644" w:rsidRPr="00623540">
        <w:t xml:space="preserve"> no Quadro 2 </w:t>
      </w:r>
      <w:r w:rsidR="00C41644" w:rsidRPr="00623540">
        <w:lastRenderedPageBreak/>
        <w:t>desse relatório</w:t>
      </w:r>
      <w:r w:rsidR="001835DD" w:rsidRPr="00623540">
        <w:t>,</w:t>
      </w:r>
      <w:r w:rsidRPr="00623540">
        <w:t xml:space="preserve"> de forma a lhes</w:t>
      </w:r>
      <w:r w:rsidRPr="005D6AF0">
        <w:rPr>
          <w:color w:val="000000"/>
        </w:rPr>
        <w:t xml:space="preserve"> permitir efetuar os ajustes necessários e mitigar o risco de que as demonstrações fossem encerradas com distorções relevantes.</w:t>
      </w:r>
    </w:p>
    <w:p w14:paraId="3042986B" w14:textId="53FC669A" w:rsidR="001C3C47" w:rsidRDefault="00A61C3A" w:rsidP="00DE1C82">
      <w:pPr>
        <w:pStyle w:val="NormalWeb"/>
        <w:spacing w:before="240" w:beforeAutospacing="0" w:after="0" w:afterAutospacing="0"/>
        <w:ind w:left="108" w:right="108" w:firstLine="600"/>
        <w:jc w:val="both"/>
        <w:rPr>
          <w:color w:val="000000"/>
        </w:rPr>
      </w:pPr>
      <w:r w:rsidRPr="005D6AF0">
        <w:rPr>
          <w:color w:val="000000"/>
        </w:rPr>
        <w:t xml:space="preserve">Não </w:t>
      </w:r>
      <w:r w:rsidR="001835DD">
        <w:rPr>
          <w:color w:val="000000"/>
        </w:rPr>
        <w:t>foram</w:t>
      </w:r>
      <w:r w:rsidRPr="005D6AF0">
        <w:rPr>
          <w:color w:val="000000"/>
        </w:rPr>
        <w:t xml:space="preserve"> verifica</w:t>
      </w:r>
      <w:r w:rsidR="001835DD">
        <w:rPr>
          <w:color w:val="000000"/>
        </w:rPr>
        <w:t>das</w:t>
      </w:r>
      <w:r w:rsidRPr="005D6AF0">
        <w:rPr>
          <w:color w:val="000000"/>
        </w:rPr>
        <w:t xml:space="preserve"> distorções relevantes que pudessem influenciar na opinião de auditoria sobre as demonstrações contábeis e sobre a conformidade das operações, transações ou dos atos de gestão relevantes dos responsáveis. Os exames realizados identificaram divergências que foram comunicadas através das </w:t>
      </w:r>
      <w:r w:rsidR="006A4E2E">
        <w:rPr>
          <w:color w:val="000000"/>
        </w:rPr>
        <w:t>Notas</w:t>
      </w:r>
      <w:r w:rsidR="007F783D">
        <w:rPr>
          <w:color w:val="000000"/>
        </w:rPr>
        <w:t xml:space="preserve"> de auditoria, </w:t>
      </w:r>
      <w:r w:rsidRPr="005D6AF0">
        <w:rPr>
          <w:color w:val="000000"/>
        </w:rPr>
        <w:t>das constatações relatadas nos tópicos 3 e 4 do Relatório Preliminar de Comunicado de Distorções (id.</w:t>
      </w:r>
      <w:r w:rsidR="007F783D" w:rsidRPr="007F783D">
        <w:rPr>
          <w:color w:val="000000"/>
        </w:rPr>
        <w:t xml:space="preserve"> </w:t>
      </w:r>
      <w:r w:rsidR="001C419E" w:rsidRPr="001C419E">
        <w:rPr>
          <w:color w:val="000000"/>
        </w:rPr>
        <w:t>1527726</w:t>
      </w:r>
      <w:r w:rsidRPr="002C32B2">
        <w:rPr>
          <w:color w:val="000000"/>
        </w:rPr>
        <w:t>)</w:t>
      </w:r>
      <w:r w:rsidR="000D7D02">
        <w:rPr>
          <w:color w:val="000000"/>
        </w:rPr>
        <w:t>.</w:t>
      </w:r>
      <w:r w:rsidR="00057C45">
        <w:rPr>
          <w:color w:val="000000"/>
        </w:rPr>
        <w:t xml:space="preserve"> </w:t>
      </w:r>
    </w:p>
    <w:p w14:paraId="05DE0416" w14:textId="16B2DE55" w:rsidR="00EA66F8" w:rsidRDefault="00057C45" w:rsidP="00DE1C82">
      <w:pPr>
        <w:pStyle w:val="NormalWeb"/>
        <w:spacing w:before="240" w:beforeAutospacing="0" w:after="0" w:afterAutospacing="0"/>
        <w:ind w:left="108" w:right="108" w:firstLine="600"/>
        <w:jc w:val="both"/>
      </w:pPr>
      <w:r>
        <w:rPr>
          <w:color w:val="000000"/>
        </w:rPr>
        <w:t>Ressalta-se que as divergências não corrigidas foram reescritas na Seção 4 desse relatório e serão monitoradas na auditoria anual de contas referente ao exercício de 202</w:t>
      </w:r>
      <w:r w:rsidR="00063447">
        <w:rPr>
          <w:color w:val="000000"/>
        </w:rPr>
        <w:t>6</w:t>
      </w:r>
      <w:r>
        <w:rPr>
          <w:color w:val="000000"/>
        </w:rPr>
        <w:t>.</w:t>
      </w:r>
    </w:p>
    <w:p w14:paraId="314F70D9" w14:textId="77777777" w:rsidR="001F2898" w:rsidRDefault="001F2898" w:rsidP="00DE1C82">
      <w:pPr>
        <w:pStyle w:val="NormalWeb"/>
        <w:spacing w:before="0" w:beforeAutospacing="0" w:after="0" w:afterAutospacing="0"/>
        <w:ind w:left="108" w:right="108" w:firstLine="0"/>
        <w:jc w:val="both"/>
      </w:pPr>
      <w:bookmarkStart w:id="38" w:name="_Toc67067937"/>
      <w:bookmarkStart w:id="39" w:name="_Toc67067000"/>
      <w:bookmarkEnd w:id="38"/>
    </w:p>
    <w:p w14:paraId="4FA8F8CB" w14:textId="77777777" w:rsidR="001F2898" w:rsidRDefault="00A61C3A" w:rsidP="004B1E97">
      <w:pPr>
        <w:pStyle w:val="NormalWeb"/>
        <w:spacing w:before="240" w:beforeAutospacing="0" w:after="0" w:afterAutospacing="0"/>
        <w:ind w:left="108" w:right="108" w:firstLine="0"/>
        <w:jc w:val="both"/>
      </w:pPr>
      <w:r w:rsidRPr="005D6AF0">
        <w:rPr>
          <w:b/>
          <w:bCs/>
          <w:color w:val="000000"/>
        </w:rPr>
        <w:t>VI - MÉTODO DE AMOSTRAGEM UTILIZADO NA AUDITORIA</w:t>
      </w:r>
      <w:bookmarkEnd w:id="39"/>
    </w:p>
    <w:p w14:paraId="205D53EC" w14:textId="77777777" w:rsidR="001F2898" w:rsidRDefault="00A61C3A" w:rsidP="00DE1C82">
      <w:pPr>
        <w:pStyle w:val="NormalWeb"/>
        <w:spacing w:before="240" w:beforeAutospacing="0" w:after="0" w:afterAutospacing="0"/>
        <w:ind w:left="108" w:right="108" w:firstLine="600"/>
        <w:jc w:val="both"/>
      </w:pPr>
      <w:r w:rsidRPr="005D6AF0">
        <w:rPr>
          <w:color w:val="000000"/>
        </w:rPr>
        <w:t>Segundo o Manual de Auditoria Financeira - MAF do TCU, há três métodos principais de selecionar itens para testes:</w:t>
      </w:r>
    </w:p>
    <w:p w14:paraId="376945D9" w14:textId="77777777" w:rsidR="001F2898" w:rsidRDefault="00A61C3A" w:rsidP="004B1E97">
      <w:pPr>
        <w:pStyle w:val="NormalWeb"/>
        <w:spacing w:before="240" w:beforeAutospacing="0" w:after="0" w:afterAutospacing="0"/>
        <w:ind w:left="709" w:right="108" w:firstLine="0"/>
        <w:jc w:val="both"/>
      </w:pPr>
      <w:r w:rsidRPr="005D6AF0">
        <w:t>a) seleção de todos os itens (exame de 100%);</w:t>
      </w:r>
    </w:p>
    <w:p w14:paraId="5CA969C0" w14:textId="77777777" w:rsidR="001F2898" w:rsidRDefault="00A61C3A" w:rsidP="004B1E97">
      <w:pPr>
        <w:pStyle w:val="NormalWeb"/>
        <w:spacing w:before="240" w:beforeAutospacing="0" w:after="0" w:afterAutospacing="0"/>
        <w:ind w:left="709" w:right="108" w:firstLine="0"/>
        <w:jc w:val="both"/>
      </w:pPr>
      <w:r w:rsidRPr="005D6AF0">
        <w:t>b) seleção de itens específicos; e</w:t>
      </w:r>
    </w:p>
    <w:p w14:paraId="6A4AD55F" w14:textId="77777777" w:rsidR="001F2898" w:rsidRDefault="00A61C3A" w:rsidP="004B1E97">
      <w:pPr>
        <w:pStyle w:val="NormalWeb"/>
        <w:spacing w:before="240" w:beforeAutospacing="0" w:after="0" w:afterAutospacing="0"/>
        <w:ind w:left="709" w:right="108" w:firstLine="0"/>
        <w:jc w:val="both"/>
      </w:pPr>
      <w:r w:rsidRPr="005D6AF0">
        <w:t>c) amostragem.</w:t>
      </w:r>
    </w:p>
    <w:p w14:paraId="53E8898F" w14:textId="77777777" w:rsidR="001F2898" w:rsidRDefault="00A61C3A" w:rsidP="00DE1C82">
      <w:pPr>
        <w:pStyle w:val="NormalWeb"/>
        <w:spacing w:before="240" w:beforeAutospacing="0" w:after="0" w:afterAutospacing="0"/>
        <w:ind w:left="108" w:right="108" w:firstLine="600"/>
        <w:jc w:val="both"/>
      </w:pPr>
      <w:r w:rsidRPr="005D6AF0">
        <w:rPr>
          <w:color w:val="000000"/>
        </w:rPr>
        <w:t>A escolha do método de obtenção de evidência depende da natureza das transações e das afirmações específicas que estão sendo testadas. A escolha do método de seleção é uma questão de julgamento profissional do auditor, com base na avaliação de risco, materialidade, eficiência e custo da auditoria. No entanto, o método escolhido deve ser eficaz no cumprimento do objetivo do procedimento de auditoria.</w:t>
      </w:r>
    </w:p>
    <w:p w14:paraId="1AF209F2" w14:textId="77777777" w:rsidR="001F2898" w:rsidRDefault="00A61C3A" w:rsidP="00DE1C82">
      <w:pPr>
        <w:pStyle w:val="NormalWeb"/>
        <w:spacing w:before="240" w:beforeAutospacing="0" w:after="0" w:afterAutospacing="0"/>
        <w:ind w:left="108" w:right="108" w:firstLine="600"/>
        <w:jc w:val="both"/>
      </w:pPr>
      <w:r w:rsidRPr="005D6AF0">
        <w:rPr>
          <w:color w:val="000000"/>
        </w:rPr>
        <w:t>O objetivo do auditor ao executar os procedimentos substantivos é obter evidência de auditoria suficiente e apropriada de que não há distorções relevantes no nível das afirmações específicas relacionadas a classes de transações, saldos contábeis e divulgações.</w:t>
      </w:r>
    </w:p>
    <w:p w14:paraId="527437F8" w14:textId="7A43C7D6" w:rsidR="001F2898" w:rsidRDefault="00A61C3A" w:rsidP="00DE1C82">
      <w:pPr>
        <w:pStyle w:val="NormalWeb"/>
        <w:spacing w:before="240" w:beforeAutospacing="0" w:after="0" w:afterAutospacing="0"/>
        <w:ind w:left="108" w:right="108" w:firstLine="600"/>
        <w:jc w:val="both"/>
      </w:pPr>
      <w:r w:rsidRPr="005D6AF0">
        <w:t>Nesta auditoria, utilizou-</w:t>
      </w:r>
      <w:r w:rsidR="0090653F" w:rsidRPr="005D6AF0">
        <w:t>se a</w:t>
      </w:r>
      <w:r w:rsidRPr="005D6AF0">
        <w:t xml:space="preserve"> </w:t>
      </w:r>
      <w:r w:rsidRPr="00973CF4">
        <w:t>seleção de todos os itens (exame de 100%)</w:t>
      </w:r>
      <w:r w:rsidR="003D70F5">
        <w:t xml:space="preserve">, </w:t>
      </w:r>
      <w:r w:rsidR="00270B7A" w:rsidRPr="005D6AF0">
        <w:t xml:space="preserve">amostragem </w:t>
      </w:r>
      <w:r w:rsidR="00270B7A">
        <w:t>estatística</w:t>
      </w:r>
      <w:r w:rsidR="003D70F5">
        <w:t xml:space="preserve"> </w:t>
      </w:r>
      <w:r w:rsidR="00FD396C">
        <w:t xml:space="preserve">e </w:t>
      </w:r>
      <w:r w:rsidRPr="005D6AF0">
        <w:t>não estatística por julgamento profissional para o planejamento e a realização dos testes de controle e substantivos que deram suporte às conclusões apresentadas neste relatório</w:t>
      </w:r>
      <w:r w:rsidR="00270B7A">
        <w:t>.</w:t>
      </w:r>
    </w:p>
    <w:p w14:paraId="4F9401A1" w14:textId="77777777" w:rsidR="001F2898" w:rsidRDefault="001F2898" w:rsidP="00724FEF">
      <w:pPr>
        <w:pStyle w:val="NormalWeb"/>
        <w:spacing w:before="0" w:beforeAutospacing="0" w:after="0" w:afterAutospacing="0"/>
        <w:ind w:left="108" w:right="108" w:firstLine="0"/>
        <w:jc w:val="both"/>
      </w:pPr>
    </w:p>
    <w:p w14:paraId="7C0F63D6" w14:textId="77777777" w:rsidR="001F2898" w:rsidRPr="00804239" w:rsidRDefault="00A61C3A" w:rsidP="004B1E97">
      <w:pPr>
        <w:pStyle w:val="NormalWeb"/>
        <w:spacing w:before="240" w:beforeAutospacing="0" w:after="0" w:afterAutospacing="0"/>
        <w:ind w:left="108" w:right="108" w:firstLine="0"/>
        <w:jc w:val="both"/>
        <w:rPr>
          <w:b/>
          <w:bCs/>
        </w:rPr>
      </w:pPr>
      <w:r w:rsidRPr="005D6AF0">
        <w:rPr>
          <w:b/>
          <w:bCs/>
          <w:color w:val="000000"/>
        </w:rPr>
        <w:t xml:space="preserve">a) </w:t>
      </w:r>
      <w:r w:rsidRPr="00804239">
        <w:rPr>
          <w:b/>
          <w:bCs/>
        </w:rPr>
        <w:t>Parâmetros dos testes substantivos (testes de detalhes) e testes de controle aplicados no ciclo de pessoal</w:t>
      </w:r>
    </w:p>
    <w:p w14:paraId="4FBECB97" w14:textId="77777777" w:rsidR="00804239" w:rsidRPr="00804239" w:rsidRDefault="00804239" w:rsidP="00804239">
      <w:pPr>
        <w:pStyle w:val="NormalWeb"/>
        <w:spacing w:before="240" w:beforeAutospacing="0" w:after="0" w:afterAutospacing="0"/>
        <w:ind w:left="108" w:right="108" w:firstLine="600"/>
        <w:jc w:val="both"/>
        <w:rPr>
          <w:color w:val="000000"/>
        </w:rPr>
      </w:pPr>
      <w:r w:rsidRPr="00804239">
        <w:rPr>
          <w:color w:val="000000"/>
        </w:rPr>
        <w:t>Para a realização dos testes substantivos e de controle no ciclo de pessoal, foram analisados os resumos das folhas de pagamento referentes ao exercício de 2025 e os respectivos lançamentos contábeis registrados no SIAFI, relativos às contas contábeis selecionadas pela equipe de auditoria em razão da identificação de riscos, conforme procedimentos descritos no Programa de Auditoria (id. 1376559). A análise teve por objetivo verificar a adequada classificação contábil das transações e a correta execução das etapas da despesa (empenho, liquidação e pagamento), com a utilização da natureza de despesa detalhada correspondente.</w:t>
      </w:r>
    </w:p>
    <w:p w14:paraId="5F921220" w14:textId="13AA43C0" w:rsidR="008203E9" w:rsidRDefault="008203E9" w:rsidP="008203E9">
      <w:pPr>
        <w:pStyle w:val="NormalWeb"/>
        <w:spacing w:before="240" w:beforeAutospacing="0" w:after="0" w:afterAutospacing="0"/>
        <w:ind w:left="108" w:right="108" w:firstLine="600"/>
        <w:jc w:val="both"/>
        <w:rPr>
          <w:color w:val="000000"/>
        </w:rPr>
      </w:pPr>
      <w:r w:rsidRPr="00804239">
        <w:rPr>
          <w:color w:val="000000"/>
        </w:rPr>
        <w:t xml:space="preserve">Em relação às despesas relativas ao 13º salário e às férias, buscou-se verificar se as transações foram registradas no período contábil correto; se os valores de provisionamento conferem com os relatórios da folha de pagamento; se os pagamentos foram classificados na natureza de despesa adequada; se os provisionamentos foram registrados nas correspondentes contas de variação patrimonial diminutiva; e se valores eventualmente devolvidos por meio de GRU foram contabilizados conforme as informações prestadas pela SEPAG. No caso específico </w:t>
      </w:r>
      <w:r w:rsidRPr="00804239">
        <w:rPr>
          <w:color w:val="000000"/>
        </w:rPr>
        <w:lastRenderedPageBreak/>
        <w:t>das férias, verificou-se ainda se a baixa da remuneração foi registrada conforme o relatório BRPF e se eventuais adiantamentos salariais foram compensados nos dois meses subsequentes.</w:t>
      </w:r>
    </w:p>
    <w:p w14:paraId="65953EA3" w14:textId="23060821" w:rsidR="00804239" w:rsidRPr="00804239" w:rsidRDefault="00804239" w:rsidP="008B666F">
      <w:pPr>
        <w:pStyle w:val="NormalWeb"/>
        <w:spacing w:before="240" w:beforeAutospacing="0" w:after="0" w:afterAutospacing="0"/>
        <w:ind w:left="108" w:right="108" w:firstLine="600"/>
        <w:jc w:val="both"/>
        <w:rPr>
          <w:color w:val="000000"/>
        </w:rPr>
      </w:pPr>
      <w:r w:rsidRPr="00804239">
        <w:rPr>
          <w:color w:val="000000"/>
        </w:rPr>
        <w:t xml:space="preserve">No que se refere à VPD 3.2.1.1.1.02.00 – Aposentadorias Pendentes de Aprovação – Pessoal Civil, </w:t>
      </w:r>
      <w:r w:rsidR="00F20007">
        <w:rPr>
          <w:color w:val="000000"/>
        </w:rPr>
        <w:t>avaliou-se</w:t>
      </w:r>
      <w:r w:rsidRPr="00804239">
        <w:rPr>
          <w:color w:val="000000"/>
        </w:rPr>
        <w:t xml:space="preserve"> se os registros contábeis refletem adequadamente a situação dos atos de aposentadoria, isto é, se estão pendentes ou não de apreciação pelo TCU. Para tanto, </w:t>
      </w:r>
      <w:r w:rsidR="00F20007">
        <w:rPr>
          <w:color w:val="000000"/>
        </w:rPr>
        <w:t xml:space="preserve">examinou-se </w:t>
      </w:r>
      <w:r w:rsidRPr="00804239">
        <w:rPr>
          <w:color w:val="000000"/>
        </w:rPr>
        <w:t>a existência de controles administrativos destinados a manter atualizado, no SARH, o perfil dos servidores e magistrados aposentados, a fim de identificar se os proventos pagos possuem caráter provisório ou definitivo. A amostra compreendeu a totalidade dos servidores e magistrados aposentados e dos pensionistas que receberam proventos provisórios no período de janeiro a julho de 2025.</w:t>
      </w:r>
    </w:p>
    <w:p w14:paraId="378C906B" w14:textId="7F360B86" w:rsidR="00804239" w:rsidRPr="00804239" w:rsidRDefault="00804239" w:rsidP="00724FEF">
      <w:pPr>
        <w:pStyle w:val="NormalWeb"/>
        <w:spacing w:before="240" w:beforeAutospacing="0" w:after="0" w:afterAutospacing="0"/>
        <w:ind w:right="108"/>
        <w:jc w:val="both"/>
        <w:rPr>
          <w:color w:val="000000"/>
        </w:rPr>
      </w:pPr>
      <w:r w:rsidRPr="00804239">
        <w:rPr>
          <w:color w:val="000000"/>
        </w:rPr>
        <w:t xml:space="preserve">Quanto às contribuições patronais relativas ao PSSS, ao INSS e ao FUNPRESP, </w:t>
      </w:r>
      <w:r w:rsidR="00E26C01">
        <w:rPr>
          <w:color w:val="000000"/>
        </w:rPr>
        <w:t>analisaram-se</w:t>
      </w:r>
      <w:r w:rsidRPr="00804239">
        <w:rPr>
          <w:color w:val="000000"/>
        </w:rPr>
        <w:t xml:space="preserve"> os valores recolhidos</w:t>
      </w:r>
      <w:r w:rsidR="00E26C01">
        <w:rPr>
          <w:color w:val="000000"/>
        </w:rPr>
        <w:t xml:space="preserve"> quanto</w:t>
      </w:r>
      <w:r w:rsidRPr="00804239">
        <w:rPr>
          <w:color w:val="000000"/>
        </w:rPr>
        <w:t xml:space="preserve"> </w:t>
      </w:r>
      <w:r w:rsidR="00F20007">
        <w:rPr>
          <w:color w:val="000000"/>
        </w:rPr>
        <w:t>à</w:t>
      </w:r>
      <w:r w:rsidRPr="00804239">
        <w:rPr>
          <w:color w:val="000000"/>
        </w:rPr>
        <w:t xml:space="preserve"> conformidade com as normas aplicáveis, mediante análise das rubricas do SISUR constantes da folha de pagamento e dos respectivos relatórios. Verificou-se, ainda, se os recolhimentos foram efetuados com os códigos de receita apropriados.</w:t>
      </w:r>
    </w:p>
    <w:p w14:paraId="25A57A45" w14:textId="1CEB8503" w:rsidR="00231C2E" w:rsidRDefault="00804239" w:rsidP="00724FEF">
      <w:pPr>
        <w:pStyle w:val="NormalWeb"/>
        <w:spacing w:before="240" w:beforeAutospacing="0" w:after="0" w:afterAutospacing="0"/>
        <w:ind w:right="108"/>
        <w:jc w:val="both"/>
      </w:pPr>
      <w:r w:rsidRPr="00804239">
        <w:rPr>
          <w:color w:val="000000"/>
        </w:rPr>
        <w:t>Por fim, no tocante às despesas com requisitados, buscou-se verificar se as apropriações foram registradas nas contas contábeis corretas (</w:t>
      </w:r>
      <w:proofErr w:type="spellStart"/>
      <w:r w:rsidRPr="00804239">
        <w:rPr>
          <w:color w:val="000000"/>
        </w:rPr>
        <w:t>VPDs</w:t>
      </w:r>
      <w:proofErr w:type="spellEnd"/>
      <w:r w:rsidRPr="00804239">
        <w:rPr>
          <w:color w:val="000000"/>
        </w:rPr>
        <w:t>), considerando-se o quinto nível, de acordo com o credor e em compatibilidade com a classificação orçamentária, bem como se houve o reconhecimento de passivo sem cobertura orçamentária referente a valores de meses sem ressarcimento e sem empenho</w:t>
      </w:r>
      <w:r w:rsidRPr="00804239">
        <w:t>.</w:t>
      </w:r>
    </w:p>
    <w:p w14:paraId="3364CA74" w14:textId="77777777" w:rsidR="006A1295" w:rsidRPr="006A1295" w:rsidRDefault="006A1295" w:rsidP="006A1295">
      <w:pPr>
        <w:pStyle w:val="NormalWeb"/>
        <w:spacing w:before="0" w:beforeAutospacing="0" w:after="0" w:afterAutospacing="0"/>
        <w:ind w:left="108" w:right="108" w:firstLine="601"/>
        <w:jc w:val="both"/>
      </w:pPr>
    </w:p>
    <w:p w14:paraId="4AB32EA9" w14:textId="119BEB7B" w:rsidR="005576A4" w:rsidRPr="00D50625" w:rsidRDefault="005576A4" w:rsidP="00724FEF">
      <w:pPr>
        <w:pStyle w:val="NormalWeb"/>
        <w:spacing w:before="0" w:beforeAutospacing="0" w:after="0" w:afterAutospacing="0"/>
        <w:ind w:right="108" w:firstLine="0"/>
        <w:jc w:val="both"/>
        <w:rPr>
          <w:b/>
          <w:bCs/>
        </w:rPr>
      </w:pPr>
      <w:r w:rsidRPr="00D50625">
        <w:rPr>
          <w:b/>
          <w:bCs/>
        </w:rPr>
        <w:t>b) Transações subjacentes relacionadas ao ciclo de pessoal</w:t>
      </w:r>
    </w:p>
    <w:p w14:paraId="7BFC7AA4" w14:textId="77777777" w:rsidR="00D50625" w:rsidRPr="00D50625" w:rsidRDefault="00D50625" w:rsidP="00D50625">
      <w:pPr>
        <w:pStyle w:val="NormalWeb"/>
        <w:spacing w:before="240" w:beforeAutospacing="0" w:after="0" w:afterAutospacing="0"/>
        <w:ind w:left="108" w:right="108" w:firstLine="600"/>
        <w:jc w:val="both"/>
        <w:rPr>
          <w:color w:val="000000"/>
        </w:rPr>
      </w:pPr>
      <w:r w:rsidRPr="00D50625">
        <w:rPr>
          <w:color w:val="000000"/>
        </w:rPr>
        <w:t>A análise das transações subjacentes, realizada no período de setembro de 2025 a março de 2026, teve como objetivo avaliar os controles internos administrativos das áreas auditadas e a regularidade dos pagamentos realizados por meio da Folha de Pagamento de Pessoal. O escopo contemplou a verificação das rubricas de remuneração, vantagens, gratificações, descontos legais, provisões de férias e 13º salário, além de demais pagamentos relacionados ao ciclo de pessoal.</w:t>
      </w:r>
    </w:p>
    <w:p w14:paraId="1FF9F212" w14:textId="77777777" w:rsidR="00D50625" w:rsidRPr="00D50625" w:rsidRDefault="00D50625" w:rsidP="00D50625">
      <w:pPr>
        <w:pStyle w:val="NormalWeb"/>
        <w:spacing w:before="240" w:beforeAutospacing="0" w:after="0" w:afterAutospacing="0"/>
        <w:ind w:left="108" w:right="108" w:firstLine="600"/>
        <w:jc w:val="both"/>
        <w:rPr>
          <w:color w:val="000000"/>
        </w:rPr>
      </w:pPr>
      <w:r w:rsidRPr="00D50625">
        <w:rPr>
          <w:color w:val="000000"/>
        </w:rPr>
        <w:t>A auditoria foi conduzida como auditoria integrada, combinando os enfoques de auditoria financeira e de conformidade. No tocante à análise das transações subjacentes relativas ao ciclo de pagamento de pessoal, os trabalhos foram executados em atuação conjunta com o Conselho da Justiça Federal- CJF, com participação da equipe de auditoria da Secretaria de Auditoria- SAU/CJF, que prestou apoio técnico mediante a oferta de treinamentos e de ferramentas desenvolvidas para subsidiar a execução dos exames. Entre os instrumentos disponibilizados, destacam-se: (i) a Calculadora Amostral, utilizada para seleção das matrículas que compuseram a amostra analisada; (</w:t>
      </w:r>
      <w:proofErr w:type="spellStart"/>
      <w:r w:rsidRPr="00D50625">
        <w:rPr>
          <w:color w:val="000000"/>
        </w:rPr>
        <w:t>ii</w:t>
      </w:r>
      <w:proofErr w:type="spellEnd"/>
      <w:r w:rsidRPr="00D50625">
        <w:rPr>
          <w:color w:val="000000"/>
        </w:rPr>
        <w:t>) a Calculadora de Folha de Pagamento Unificada, empregada na conferência dos pagamentos e descontos realizados na folha dos servidores ativos; (</w:t>
      </w:r>
      <w:proofErr w:type="spellStart"/>
      <w:r w:rsidRPr="00D50625">
        <w:rPr>
          <w:color w:val="000000"/>
        </w:rPr>
        <w:t>iii</w:t>
      </w:r>
      <w:proofErr w:type="spellEnd"/>
      <w:r w:rsidRPr="00D50625">
        <w:rPr>
          <w:color w:val="000000"/>
        </w:rPr>
        <w:t>) a Calculadora de Folha de Pagamento de Inativos; e (</w:t>
      </w:r>
      <w:proofErr w:type="spellStart"/>
      <w:r w:rsidRPr="00D50625">
        <w:rPr>
          <w:color w:val="000000"/>
        </w:rPr>
        <w:t>iv</w:t>
      </w:r>
      <w:proofErr w:type="spellEnd"/>
      <w:r w:rsidRPr="00D50625">
        <w:rPr>
          <w:color w:val="000000"/>
        </w:rPr>
        <w:t>) a Calculadora de Folha de Pagamento de Pensionistas. Ademais, o CJF disponibilizou questionário específico voltado à apuração do nível de maturidade dos controles internos das unidades auditadas.</w:t>
      </w:r>
    </w:p>
    <w:p w14:paraId="52C86631" w14:textId="77777777" w:rsidR="00D50625" w:rsidRPr="00D50625" w:rsidRDefault="00D50625" w:rsidP="00D50625">
      <w:pPr>
        <w:pStyle w:val="NormalWeb"/>
        <w:spacing w:before="240" w:beforeAutospacing="0" w:after="0" w:afterAutospacing="0"/>
        <w:ind w:left="108" w:right="108" w:firstLine="600"/>
        <w:jc w:val="both"/>
        <w:rPr>
          <w:color w:val="000000"/>
        </w:rPr>
      </w:pPr>
      <w:r w:rsidRPr="00D50625">
        <w:rPr>
          <w:color w:val="000000"/>
        </w:rPr>
        <w:t xml:space="preserve">De acordo com informações fornecidas pelo CJF, a metodologia de amostragem adotada na elaboração da Calculadora Amostral foi a probabilística, o que garantiu que cada item da população tivesse uma chance conhecida e diferente de zero de ser selecionado. O planejamento da amostra buscou um grau de confiança adequado para os testes e uma margem de erro máxima de 10%. Essa abordagem assegurou que as conclusões obtidas a partir da amostra pudessem ser extrapoladas para toda a população com um nível de segurança estatisticamente válido, em conformidade com as normas de auditoria. </w:t>
      </w:r>
    </w:p>
    <w:p w14:paraId="6D0554D8" w14:textId="77777777" w:rsidR="00D50625" w:rsidRPr="00D50625" w:rsidRDefault="00D50625" w:rsidP="00D50625">
      <w:pPr>
        <w:pStyle w:val="NormalWeb"/>
        <w:spacing w:before="240" w:beforeAutospacing="0" w:after="0" w:afterAutospacing="0"/>
        <w:ind w:left="108" w:right="108" w:firstLine="600"/>
        <w:jc w:val="both"/>
        <w:rPr>
          <w:color w:val="000000"/>
        </w:rPr>
      </w:pPr>
      <w:r w:rsidRPr="00D50625">
        <w:rPr>
          <w:color w:val="000000"/>
        </w:rPr>
        <w:t xml:space="preserve">Em consonância com esta metodologia, esta equipe de auditoria utilizou a Amostragem Estratificada, dividindo a população em dois grupos, sendo o primeiro composto pelos </w:t>
      </w:r>
      <w:r w:rsidRPr="00D50625">
        <w:rPr>
          <w:color w:val="000000"/>
        </w:rPr>
        <w:lastRenderedPageBreak/>
        <w:t xml:space="preserve">servidores ativos, inativos e pensionistas, e o segundo pelos magistrados, o que resultou, após utilização da Calculadora Amostral, em um número de 42 servidores, entre ativos, inativos e pensionistas, e 36 magistrados, entre juízes substitutos, titulares e desembargadores. </w:t>
      </w:r>
    </w:p>
    <w:p w14:paraId="0094C3A8" w14:textId="77777777" w:rsidR="00D50625" w:rsidRPr="00D50625" w:rsidRDefault="00D50625" w:rsidP="00D50625">
      <w:pPr>
        <w:pStyle w:val="NormalWeb"/>
        <w:spacing w:before="240" w:beforeAutospacing="0" w:after="0" w:afterAutospacing="0"/>
        <w:ind w:left="108" w:right="108" w:firstLine="600"/>
        <w:jc w:val="both"/>
        <w:rPr>
          <w:color w:val="000000"/>
        </w:rPr>
      </w:pPr>
      <w:r w:rsidRPr="00D50625">
        <w:rPr>
          <w:color w:val="000000"/>
        </w:rPr>
        <w:t>Na fase de execução, elaborou-se, com base no modelo fornecido pelo CJF, o questionário para apuração do nível de maturidade dos controles internos da unidade auditada, o qual foi encaminhado à SECGP por meio da Solicitação de Auditoria (id. 1394348) e, posteriormente, foi respondido pela DIPAG por meio do documento “Resposta” (id. 1413500).</w:t>
      </w:r>
    </w:p>
    <w:p w14:paraId="6622A7C5" w14:textId="77777777" w:rsidR="00D50625" w:rsidRPr="00D50625" w:rsidRDefault="00D50625" w:rsidP="00D50625">
      <w:pPr>
        <w:pStyle w:val="NormalWeb"/>
        <w:spacing w:before="240" w:beforeAutospacing="0" w:after="0" w:afterAutospacing="0"/>
        <w:ind w:left="108" w:right="108" w:firstLine="600"/>
        <w:jc w:val="both"/>
        <w:rPr>
          <w:color w:val="000000"/>
        </w:rPr>
      </w:pPr>
      <w:r w:rsidRPr="00D50625">
        <w:rPr>
          <w:color w:val="000000"/>
        </w:rPr>
        <w:t>Em seguida, procedeu-se à análise e conferência dos valores constantes nas fichas financeiras dos servidores e magistrados selecionados na amostra anteriormente citada, com o preenchimento de checklists elaborados com base na legislação vigente. Para a análise da amostra de servidores ativos, inativos e pensionistas, utilizaram-se as calculadoras disponibilizadas pela SAU/CJF, conforme mencionado anteriormente. Concluídas as análises, elaborou-se a Nota de Auditoria (id. 1510683), a qual foi respondida pela área auditada por meio da Informação SEPAG (id. 1568432).</w:t>
      </w:r>
    </w:p>
    <w:p w14:paraId="5A8B230F" w14:textId="77777777" w:rsidR="00D50625" w:rsidRPr="0087486A" w:rsidRDefault="00D50625" w:rsidP="00D50625">
      <w:pPr>
        <w:pStyle w:val="NormalWeb"/>
        <w:spacing w:before="240" w:beforeAutospacing="0" w:after="0" w:afterAutospacing="0"/>
        <w:ind w:left="108" w:right="108" w:firstLine="600"/>
        <w:jc w:val="both"/>
        <w:rPr>
          <w:rFonts w:ascii="Arial" w:hAnsi="Arial" w:cs="Arial"/>
        </w:rPr>
      </w:pPr>
      <w:r w:rsidRPr="00D50625">
        <w:rPr>
          <w:color w:val="000000"/>
        </w:rPr>
        <w:t>No caso dos magistrados, não houve disponibilização, pelo CJF, de ferramenta específica para análise. Assim, os exames foram realizados manualmente, com base nas fichas financeiras dos magistrados selecionados na amostra, conjuntamente com planilhas fornecidas pela ASMAG. Ressalta-se que, em razão das limitações relacionadas ao quadro da equipe de auditoria, composta por duas servidoras alocadas à atividade, sendo que uma delas se afastou por motivo de licença à gestante, delimitou-se o escopo às rubricas “Indenização por Licença Compensatória” e “Gratificação por Acúmulo de Jurisdição”. Para subsidiar as análises, foram preenchidos checklists elaborados com base na legislação vigente. Ao final, elaborou-se a Nota de Auditoria (id. 1649295), a qual foi encaminhada à área responsável para manifestação.</w:t>
      </w:r>
      <w:r w:rsidRPr="0087486A">
        <w:rPr>
          <w:rFonts w:ascii="Arial" w:hAnsi="Arial" w:cs="Arial"/>
          <w:color w:val="000000"/>
        </w:rPr>
        <w:t xml:space="preserve"> </w:t>
      </w:r>
    </w:p>
    <w:p w14:paraId="7B98A929" w14:textId="77777777" w:rsidR="00511BBC" w:rsidRDefault="00511BBC" w:rsidP="005D6C50">
      <w:pPr>
        <w:pStyle w:val="NormalWeb"/>
        <w:spacing w:before="0" w:beforeAutospacing="0" w:after="0" w:afterAutospacing="0"/>
        <w:ind w:left="108" w:right="108" w:firstLine="0"/>
        <w:jc w:val="both"/>
        <w:rPr>
          <w:b/>
          <w:bCs/>
        </w:rPr>
      </w:pPr>
    </w:p>
    <w:p w14:paraId="2A9E7B0A" w14:textId="77777777" w:rsidR="001F2898" w:rsidRDefault="007B56B4" w:rsidP="00724FEF">
      <w:pPr>
        <w:pStyle w:val="NormalWeb"/>
        <w:spacing w:before="240" w:beforeAutospacing="0" w:after="0" w:afterAutospacing="0"/>
        <w:ind w:right="108" w:firstLine="0"/>
        <w:jc w:val="both"/>
      </w:pPr>
      <w:r>
        <w:rPr>
          <w:b/>
          <w:bCs/>
        </w:rPr>
        <w:t>c</w:t>
      </w:r>
      <w:r w:rsidR="00A61C3A" w:rsidRPr="005D6AF0">
        <w:rPr>
          <w:b/>
          <w:bCs/>
        </w:rPr>
        <w:t>) Parâmetros dos testes substantivos (testes de detalhes) e testes de controle aplicados no ciclo do patrimônio</w:t>
      </w:r>
    </w:p>
    <w:p w14:paraId="50CC81FC" w14:textId="77777777" w:rsidR="007C663A" w:rsidRDefault="00FD0A29" w:rsidP="007C663A">
      <w:pPr>
        <w:pStyle w:val="NormalWeb"/>
        <w:spacing w:before="240" w:beforeAutospacing="0" w:after="0" w:afterAutospacing="0"/>
        <w:ind w:right="108"/>
        <w:jc w:val="both"/>
      </w:pPr>
      <w:r>
        <w:t>No que se refere ao</w:t>
      </w:r>
      <w:r w:rsidR="00A61C3A" w:rsidRPr="00A802B2">
        <w:t xml:space="preserve"> ciclo do patrimônio</w:t>
      </w:r>
      <w:r w:rsidR="00601F01">
        <w:t>,</w:t>
      </w:r>
      <w:r w:rsidR="00A61C3A" w:rsidRPr="00A802B2">
        <w:t xml:space="preserve"> os testes de auditoria foram d</w:t>
      </w:r>
      <w:r w:rsidR="008A21D7" w:rsidRPr="00A802B2">
        <w:t>irecionados aos bens</w:t>
      </w:r>
      <w:r w:rsidR="00A802B2" w:rsidRPr="00A802B2">
        <w:t xml:space="preserve"> móveis registrados na </w:t>
      </w:r>
      <w:r w:rsidR="00A802B2" w:rsidRPr="00D72451">
        <w:t xml:space="preserve">conta contábil </w:t>
      </w:r>
      <w:r w:rsidR="00A802B2" w:rsidRPr="00D72451">
        <w:rPr>
          <w:color w:val="000000"/>
        </w:rPr>
        <w:t>1231102.01 - Equipamento de Tecnologia de Inf. e comunicação/TIC</w:t>
      </w:r>
      <w:r w:rsidR="00BB0AC2">
        <w:rPr>
          <w:color w:val="000000"/>
        </w:rPr>
        <w:t xml:space="preserve">, </w:t>
      </w:r>
      <w:r w:rsidR="00BB0AC2" w:rsidRPr="00BB0AC2">
        <w:rPr>
          <w:color w:val="000000"/>
        </w:rPr>
        <w:t>12311</w:t>
      </w:r>
      <w:r w:rsidR="00BB0AC2">
        <w:rPr>
          <w:color w:val="000000"/>
        </w:rPr>
        <w:t>.</w:t>
      </w:r>
      <w:r w:rsidR="00BB0AC2" w:rsidRPr="00BB0AC2">
        <w:rPr>
          <w:color w:val="000000"/>
        </w:rPr>
        <w:t>05</w:t>
      </w:r>
      <w:r w:rsidR="00BB0AC2">
        <w:rPr>
          <w:color w:val="000000"/>
        </w:rPr>
        <w:t>.</w:t>
      </w:r>
      <w:r w:rsidR="00BB0AC2" w:rsidRPr="00BB0AC2">
        <w:rPr>
          <w:color w:val="000000"/>
        </w:rPr>
        <w:t xml:space="preserve">03 </w:t>
      </w:r>
      <w:r w:rsidR="00BB0AC2">
        <w:rPr>
          <w:color w:val="000000"/>
        </w:rPr>
        <w:t>–</w:t>
      </w:r>
      <w:r w:rsidR="00BB0AC2" w:rsidRPr="00BB0AC2">
        <w:rPr>
          <w:color w:val="000000"/>
        </w:rPr>
        <w:t xml:space="preserve"> Veículos</w:t>
      </w:r>
      <w:r w:rsidR="00BB0AC2">
        <w:rPr>
          <w:color w:val="000000"/>
        </w:rPr>
        <w:t xml:space="preserve"> e </w:t>
      </w:r>
      <w:r w:rsidR="00BB0AC2" w:rsidRPr="00BB0AC2">
        <w:rPr>
          <w:color w:val="000000"/>
        </w:rPr>
        <w:t>12311</w:t>
      </w:r>
      <w:r w:rsidR="00BB0AC2">
        <w:rPr>
          <w:color w:val="000000"/>
        </w:rPr>
        <w:t>.</w:t>
      </w:r>
      <w:r w:rsidR="00BB0AC2" w:rsidRPr="00BB0AC2">
        <w:rPr>
          <w:color w:val="000000"/>
        </w:rPr>
        <w:t>03</w:t>
      </w:r>
      <w:r w:rsidR="00BB0AC2">
        <w:rPr>
          <w:color w:val="000000"/>
        </w:rPr>
        <w:t>.</w:t>
      </w:r>
      <w:r w:rsidR="00BB0AC2" w:rsidRPr="00BB0AC2">
        <w:rPr>
          <w:color w:val="000000"/>
        </w:rPr>
        <w:t>03 - Mobiliário em geral</w:t>
      </w:r>
      <w:r w:rsidR="00BB0AC2">
        <w:rPr>
          <w:color w:val="000000"/>
        </w:rPr>
        <w:t>.</w:t>
      </w:r>
      <w:r w:rsidR="00D104F2">
        <w:rPr>
          <w:color w:val="000000"/>
        </w:rPr>
        <w:t xml:space="preserve"> </w:t>
      </w:r>
      <w:r w:rsidR="00D104F2">
        <w:t>F</w:t>
      </w:r>
      <w:r w:rsidR="00A61C3A" w:rsidRPr="00D72451">
        <w:t>oram realizados testes</w:t>
      </w:r>
      <w:r w:rsidR="000D2F85" w:rsidRPr="00D72451">
        <w:t>, por amostragem não estatística</w:t>
      </w:r>
      <w:r w:rsidR="002637D4">
        <w:t>,</w:t>
      </w:r>
      <w:r>
        <w:t xml:space="preserve"> </w:t>
      </w:r>
      <w:r w:rsidR="00D97082">
        <w:t>com o objetivo de verificar</w:t>
      </w:r>
      <w:r w:rsidR="000E739B">
        <w:t xml:space="preserve"> se </w:t>
      </w:r>
      <w:r w:rsidR="00242B11">
        <w:t xml:space="preserve">as incorporações </w:t>
      </w:r>
      <w:r w:rsidR="00D104F2">
        <w:t>dos bens adquiridos ou recebidos de outros órgãos no ano de 2025</w:t>
      </w:r>
      <w:r w:rsidR="00D97082">
        <w:t xml:space="preserve">, </w:t>
      </w:r>
      <w:r w:rsidR="00D104F2">
        <w:t>registrados n</w:t>
      </w:r>
      <w:r w:rsidR="00D97082">
        <w:t>essas contas,</w:t>
      </w:r>
      <w:r w:rsidR="00D104F2">
        <w:t xml:space="preserve"> </w:t>
      </w:r>
      <w:r w:rsidR="00242B11">
        <w:t xml:space="preserve">foram </w:t>
      </w:r>
      <w:r>
        <w:t>devidamente reconhecida</w:t>
      </w:r>
      <w:r w:rsidR="00242B11">
        <w:t xml:space="preserve">s </w:t>
      </w:r>
      <w:r>
        <w:t>n</w:t>
      </w:r>
      <w:r w:rsidR="00242B11">
        <w:t>o SIAFI</w:t>
      </w:r>
      <w:r w:rsidR="00D72510">
        <w:t>.</w:t>
      </w:r>
      <w:r>
        <w:t xml:space="preserve"> </w:t>
      </w:r>
    </w:p>
    <w:p w14:paraId="0E4FB6ED" w14:textId="77777777" w:rsidR="007C663A" w:rsidRDefault="00FD0A29" w:rsidP="007C663A">
      <w:pPr>
        <w:pStyle w:val="NormalWeb"/>
        <w:spacing w:before="240" w:beforeAutospacing="0" w:after="0" w:afterAutospacing="0"/>
        <w:ind w:right="108"/>
        <w:jc w:val="both"/>
      </w:pPr>
      <w:r>
        <w:t xml:space="preserve">Além disso, </w:t>
      </w:r>
      <w:r>
        <w:rPr>
          <w:color w:val="000000"/>
        </w:rPr>
        <w:t>v</w:t>
      </w:r>
      <w:r w:rsidR="00EC1637">
        <w:rPr>
          <w:color w:val="000000"/>
        </w:rPr>
        <w:t xml:space="preserve">erificou-se </w:t>
      </w:r>
      <w:r>
        <w:rPr>
          <w:color w:val="000000"/>
        </w:rPr>
        <w:t>a adequação do</w:t>
      </w:r>
      <w:r w:rsidR="00614714">
        <w:rPr>
          <w:color w:val="000000"/>
        </w:rPr>
        <w:t xml:space="preserve"> cadastro da vida útil e </w:t>
      </w:r>
      <w:r>
        <w:rPr>
          <w:color w:val="000000"/>
        </w:rPr>
        <w:t xml:space="preserve">do </w:t>
      </w:r>
      <w:r w:rsidR="00614714">
        <w:rPr>
          <w:color w:val="000000"/>
        </w:rPr>
        <w:t>percentual de valor residual d</w:t>
      </w:r>
      <w:r w:rsidR="00D97082">
        <w:rPr>
          <w:color w:val="000000"/>
        </w:rPr>
        <w:t>esses</w:t>
      </w:r>
      <w:r w:rsidR="00614714">
        <w:rPr>
          <w:color w:val="000000"/>
        </w:rPr>
        <w:t xml:space="preserve"> bens móveis</w:t>
      </w:r>
      <w:r>
        <w:rPr>
          <w:color w:val="000000"/>
        </w:rPr>
        <w:t xml:space="preserve"> no SICAM</w:t>
      </w:r>
      <w:r w:rsidR="00614714">
        <w:rPr>
          <w:color w:val="000000"/>
        </w:rPr>
        <w:t>.</w:t>
      </w:r>
      <w:r w:rsidR="00D97082">
        <w:rPr>
          <w:color w:val="000000"/>
        </w:rPr>
        <w:t xml:space="preserve"> </w:t>
      </w:r>
      <w:r>
        <w:rPr>
          <w:color w:val="000000"/>
        </w:rPr>
        <w:t xml:space="preserve">A auditoria também avaliou a </w:t>
      </w:r>
      <w:r w:rsidR="00AC4385" w:rsidRPr="006D6098">
        <w:t>classificação</w:t>
      </w:r>
      <w:r w:rsidR="006D6098" w:rsidRPr="006D6098">
        <w:t xml:space="preserve"> contábil</w:t>
      </w:r>
      <w:r w:rsidR="00AC4385" w:rsidRPr="006D6098">
        <w:t xml:space="preserve"> </w:t>
      </w:r>
      <w:r w:rsidR="00D104F2">
        <w:t>desses bens</w:t>
      </w:r>
      <w:r w:rsidR="006D6098" w:rsidRPr="006D6098">
        <w:t xml:space="preserve"> mediante o</w:t>
      </w:r>
      <w:r w:rsidR="006D6098">
        <w:t xml:space="preserve"> </w:t>
      </w:r>
      <w:r w:rsidR="006D6098" w:rsidRPr="006D6098">
        <w:t xml:space="preserve">confronto </w:t>
      </w:r>
      <w:r w:rsidR="006D6098" w:rsidRPr="006D6098">
        <w:rPr>
          <w:lang w:bidi="he-IL"/>
        </w:rPr>
        <w:t>d</w:t>
      </w:r>
      <w:r w:rsidR="006D6098" w:rsidRPr="006D6098">
        <w:t xml:space="preserve">as classificações atribuídas </w:t>
      </w:r>
      <w:r w:rsidR="00E41A73">
        <w:t xml:space="preserve">no SICAM e </w:t>
      </w:r>
      <w:r w:rsidR="003468DD">
        <w:t xml:space="preserve">no </w:t>
      </w:r>
      <w:r w:rsidR="00E41A73">
        <w:t xml:space="preserve">SIAFI </w:t>
      </w:r>
      <w:r w:rsidR="006D6098" w:rsidRPr="006D6098">
        <w:t xml:space="preserve">com a descrição do </w:t>
      </w:r>
      <w:r w:rsidR="00BE36D2">
        <w:t>bem.</w:t>
      </w:r>
      <w:r w:rsidR="00614714">
        <w:t xml:space="preserve"> </w:t>
      </w:r>
    </w:p>
    <w:p w14:paraId="78A307D3" w14:textId="2BE86AA3" w:rsidR="00E95228" w:rsidRDefault="00614714" w:rsidP="007C663A">
      <w:pPr>
        <w:pStyle w:val="NormalWeb"/>
        <w:spacing w:before="240" w:beforeAutospacing="0" w:after="0" w:afterAutospacing="0"/>
        <w:ind w:right="108"/>
        <w:jc w:val="both"/>
      </w:pPr>
      <w:r>
        <w:t>A</w:t>
      </w:r>
      <w:r w:rsidR="00FD0A29">
        <w:t>dicionalmente</w:t>
      </w:r>
      <w:r w:rsidR="00D97082">
        <w:t xml:space="preserve"> analisou-se</w:t>
      </w:r>
      <w:r w:rsidR="00FD0A29">
        <w:t xml:space="preserve"> a tempestividade do registro dos</w:t>
      </w:r>
      <w:r w:rsidR="009E6B3B">
        <w:t xml:space="preserve"> valores de depreciação mensal</w:t>
      </w:r>
      <w:r w:rsidR="003C0137">
        <w:t>, em conformidade com o regime de competência</w:t>
      </w:r>
      <w:r w:rsidR="00D97082">
        <w:t>, bem como</w:t>
      </w:r>
      <w:r w:rsidR="00D97082">
        <w:rPr>
          <w:color w:val="000000"/>
        </w:rPr>
        <w:t xml:space="preserve"> a realização da </w:t>
      </w:r>
      <w:r w:rsidR="00D104F2" w:rsidRPr="00D104F2">
        <w:t xml:space="preserve">conciliação mensal do Relatório de Movimentação de Bens </w:t>
      </w:r>
      <w:r w:rsidR="00D97082">
        <w:t>–</w:t>
      </w:r>
      <w:r w:rsidR="00D104F2" w:rsidRPr="00D104F2">
        <w:t xml:space="preserve"> RMB</w:t>
      </w:r>
      <w:r w:rsidR="00D97082">
        <w:t>,</w:t>
      </w:r>
      <w:r w:rsidR="00D104F2" w:rsidRPr="00D104F2">
        <w:t xml:space="preserve"> com </w:t>
      </w:r>
      <w:r w:rsidR="00D97082">
        <w:t xml:space="preserve">o registro </w:t>
      </w:r>
      <w:r w:rsidR="00D104F2" w:rsidRPr="00D104F2">
        <w:t>da análise pela SECOB.</w:t>
      </w:r>
    </w:p>
    <w:p w14:paraId="504A0306" w14:textId="77777777" w:rsidR="00724FEF" w:rsidRDefault="00724FEF" w:rsidP="00724FEF">
      <w:pPr>
        <w:pStyle w:val="NormalWeb"/>
        <w:spacing w:before="0" w:beforeAutospacing="0" w:after="0" w:afterAutospacing="0"/>
        <w:ind w:left="108" w:right="108" w:firstLine="601"/>
        <w:jc w:val="both"/>
      </w:pPr>
    </w:p>
    <w:p w14:paraId="2C9D4C17" w14:textId="77777777" w:rsidR="00572748" w:rsidRDefault="00724FEF" w:rsidP="007C663A">
      <w:pPr>
        <w:pStyle w:val="NormalWeb"/>
        <w:spacing w:before="240" w:beforeAutospacing="0" w:after="0" w:afterAutospacing="0"/>
        <w:ind w:right="108" w:firstLine="0"/>
        <w:jc w:val="both"/>
        <w:rPr>
          <w:b/>
          <w:bCs/>
        </w:rPr>
      </w:pPr>
      <w:r>
        <w:rPr>
          <w:b/>
          <w:bCs/>
        </w:rPr>
        <w:t>d</w:t>
      </w:r>
      <w:r w:rsidRPr="005D6AF0">
        <w:rPr>
          <w:b/>
          <w:bCs/>
        </w:rPr>
        <w:t>) Transações subjacentes relacionadas ao ciclo d</w:t>
      </w:r>
      <w:r>
        <w:rPr>
          <w:b/>
          <w:bCs/>
        </w:rPr>
        <w:t>o patrimônio</w:t>
      </w:r>
    </w:p>
    <w:p w14:paraId="572C8E77" w14:textId="6C1383E5" w:rsidR="00D90EB7" w:rsidRDefault="00E125D8" w:rsidP="00D90EB7">
      <w:pPr>
        <w:pStyle w:val="NormalWeb"/>
        <w:spacing w:before="240" w:beforeAutospacing="0" w:after="0" w:afterAutospacing="0"/>
        <w:ind w:right="108" w:firstLine="708"/>
        <w:jc w:val="both"/>
      </w:pPr>
      <w:r>
        <w:t>Foi realizada auditoria</w:t>
      </w:r>
      <w:r w:rsidR="008D040F">
        <w:t xml:space="preserve"> de conformidade</w:t>
      </w:r>
      <w:r>
        <w:t xml:space="preserve"> na gestão da frota de veículos do TRF6</w:t>
      </w:r>
      <w:r w:rsidR="001716FF">
        <w:t xml:space="preserve"> (</w:t>
      </w:r>
      <w:proofErr w:type="spellStart"/>
      <w:r w:rsidR="00850CFD" w:rsidRPr="00850CFD">
        <w:t>PAe</w:t>
      </w:r>
      <w:proofErr w:type="spellEnd"/>
      <w:r w:rsidR="00850CFD" w:rsidRPr="00850CFD">
        <w:t>. Sei</w:t>
      </w:r>
      <w:r w:rsidR="001716FF">
        <w:t xml:space="preserve"> </w:t>
      </w:r>
      <w:r w:rsidR="001716FF" w:rsidRPr="001716FF">
        <w:t>0009640-06.2025.4.06.8000</w:t>
      </w:r>
      <w:r w:rsidR="001716FF">
        <w:t>)</w:t>
      </w:r>
      <w:r w:rsidR="008D040F">
        <w:t>,</w:t>
      </w:r>
      <w:r w:rsidR="007D1E83" w:rsidRPr="0013244A">
        <w:t xml:space="preserve"> com foco no cumprimento dos normativos vigentes, inclusive sobre os riscos relacionados à inobservância de critérios de sustentabilidade</w:t>
      </w:r>
      <w:r w:rsidR="004C6E8A">
        <w:t>.</w:t>
      </w:r>
    </w:p>
    <w:p w14:paraId="55B638D3" w14:textId="4116B4B9" w:rsidR="00A479D8" w:rsidRDefault="00A479D8" w:rsidP="00D90EB7">
      <w:pPr>
        <w:pStyle w:val="NormalWeb"/>
        <w:spacing w:before="240" w:beforeAutospacing="0" w:after="0" w:afterAutospacing="0"/>
        <w:ind w:right="108" w:firstLine="708"/>
        <w:jc w:val="both"/>
      </w:pPr>
      <w:r w:rsidRPr="0013244A">
        <w:lastRenderedPageBreak/>
        <w:t>A unidade auditada fo</w:t>
      </w:r>
      <w:r w:rsidR="00145029">
        <w:t>i</w:t>
      </w:r>
      <w:r w:rsidRPr="0013244A">
        <w:t xml:space="preserve"> cientificada dos resultados das análises por meio d</w:t>
      </w:r>
      <w:r w:rsidR="00145029">
        <w:t>o</w:t>
      </w:r>
      <w:r w:rsidRPr="0013244A">
        <w:t xml:space="preserve"> Relatório Preliminar de Auditoria, ao qua</w:t>
      </w:r>
      <w:r w:rsidR="00145029">
        <w:t>l</w:t>
      </w:r>
      <w:r w:rsidRPr="0013244A">
        <w:t xml:space="preserve"> apresent</w:t>
      </w:r>
      <w:r w:rsidR="00145029">
        <w:t>ou</w:t>
      </w:r>
      <w:r w:rsidRPr="0013244A">
        <w:t xml:space="preserve"> suas manifestações. Posteriormente, fo</w:t>
      </w:r>
      <w:r w:rsidR="00145029">
        <w:t>i</w:t>
      </w:r>
      <w:r w:rsidRPr="0013244A">
        <w:t xml:space="preserve"> elaborado o Relatório Fina</w:t>
      </w:r>
      <w:r w:rsidR="00145029">
        <w:t>l</w:t>
      </w:r>
      <w:r w:rsidRPr="0013244A">
        <w:t xml:space="preserve">, observando-se os ditames das Resoluções </w:t>
      </w:r>
      <w:hyperlink r:id="rId61" w:history="1">
        <w:r w:rsidRPr="0013244A">
          <w:rPr>
            <w:rStyle w:val="Hyperlink"/>
          </w:rPr>
          <w:t>308/20</w:t>
        </w:r>
      </w:hyperlink>
      <w:r w:rsidRPr="0013244A">
        <w:t xml:space="preserve"> e </w:t>
      </w:r>
      <w:hyperlink r:id="rId62" w:history="1">
        <w:r w:rsidRPr="0013244A">
          <w:rPr>
            <w:rStyle w:val="Hyperlink"/>
          </w:rPr>
          <w:t>309/20</w:t>
        </w:r>
      </w:hyperlink>
      <w:r w:rsidRPr="0013244A">
        <w:t xml:space="preserve"> do CNJ, </w:t>
      </w:r>
      <w:hyperlink r:id="rId63" w:history="1">
        <w:r w:rsidRPr="0013244A">
          <w:rPr>
            <w:rStyle w:val="Hyperlink"/>
          </w:rPr>
          <w:t>676/20</w:t>
        </w:r>
      </w:hyperlink>
      <w:r w:rsidRPr="0013244A">
        <w:t xml:space="preserve"> e </w:t>
      </w:r>
      <w:hyperlink r:id="rId64" w:history="1">
        <w:r w:rsidRPr="0013244A">
          <w:rPr>
            <w:rStyle w:val="Hyperlink"/>
          </w:rPr>
          <w:t>677/20</w:t>
        </w:r>
      </w:hyperlink>
      <w:r w:rsidRPr="0013244A">
        <w:t xml:space="preserve"> do CJF, </w:t>
      </w:r>
      <w:hyperlink r:id="rId65" w:history="1">
        <w:r w:rsidRPr="0013244A">
          <w:rPr>
            <w:rStyle w:val="Hyperlink"/>
          </w:rPr>
          <w:t>Manual de Auditoria  do CNJ</w:t>
        </w:r>
      </w:hyperlink>
      <w:r w:rsidRPr="0013244A">
        <w:t xml:space="preserve"> e demais disposições aplicáveis na realização de auditoria interna no setor público.</w:t>
      </w:r>
    </w:p>
    <w:p w14:paraId="10D5851E" w14:textId="6A245179" w:rsidR="00D90EB7" w:rsidRPr="00D90EB7" w:rsidRDefault="00D90EB7" w:rsidP="00D90EB7">
      <w:pPr>
        <w:pStyle w:val="NormalWeb"/>
        <w:spacing w:before="240" w:beforeAutospacing="0" w:after="0" w:afterAutospacing="0"/>
        <w:ind w:right="108" w:firstLine="708"/>
        <w:jc w:val="both"/>
      </w:pPr>
      <w:r w:rsidRPr="0013244A">
        <w:t>A equipe de auditoria buscou avaliar a conformidade, eficiência e aderência às normas de sustentabilidade aplicáveis à gestão da frota de veículos do Tribunal Regional Federal da 6ª Região</w:t>
      </w:r>
      <w:r w:rsidR="001F22DC">
        <w:t xml:space="preserve"> - </w:t>
      </w:r>
      <w:r w:rsidRPr="0013244A">
        <w:t>TRF6, em Belo Horizonte.</w:t>
      </w:r>
    </w:p>
    <w:p w14:paraId="00FFE160" w14:textId="4FD846AC" w:rsidR="00D90EB7" w:rsidRPr="00B3258F" w:rsidRDefault="00D90EB7" w:rsidP="00B3258F">
      <w:pPr>
        <w:spacing w:before="240"/>
        <w:ind w:firstLine="708"/>
        <w:jc w:val="both"/>
        <w:rPr>
          <w:rFonts w:ascii="Times New Roman" w:hAnsi="Times New Roman" w:cs="Times New Roman"/>
          <w:sz w:val="24"/>
          <w:szCs w:val="24"/>
        </w:rPr>
      </w:pPr>
      <w:r>
        <w:rPr>
          <w:rFonts w:ascii="Times New Roman" w:hAnsi="Times New Roman" w:cs="Times New Roman"/>
          <w:sz w:val="24"/>
          <w:szCs w:val="24"/>
        </w:rPr>
        <w:t>Analisou-se o cumprimento</w:t>
      </w:r>
      <w:r w:rsidRPr="00D90EB7">
        <w:rPr>
          <w:rFonts w:ascii="Times New Roman" w:hAnsi="Times New Roman" w:cs="Times New Roman"/>
          <w:sz w:val="24"/>
          <w:szCs w:val="24"/>
        </w:rPr>
        <w:t xml:space="preserve"> pelas Contratadas dos critérios de sustentabilidade inseridos na “Cláusula de Obrigações da Contratada” dos termos de referência das contratações relacionadas ao fornecimento de combustível e à manutenção da frota</w:t>
      </w:r>
      <w:r>
        <w:rPr>
          <w:rFonts w:ascii="Times New Roman" w:hAnsi="Times New Roman" w:cs="Times New Roman"/>
          <w:sz w:val="24"/>
          <w:szCs w:val="24"/>
        </w:rPr>
        <w:t xml:space="preserve">, </w:t>
      </w:r>
      <w:r w:rsidR="008F6C77">
        <w:rPr>
          <w:rFonts w:ascii="Times New Roman" w:hAnsi="Times New Roman" w:cs="Times New Roman"/>
          <w:sz w:val="24"/>
          <w:szCs w:val="24"/>
        </w:rPr>
        <w:t>conforme</w:t>
      </w:r>
      <w:r>
        <w:rPr>
          <w:rFonts w:ascii="Times New Roman" w:hAnsi="Times New Roman" w:cs="Times New Roman"/>
          <w:sz w:val="24"/>
          <w:szCs w:val="24"/>
        </w:rPr>
        <w:t xml:space="preserve"> quadro a seguir:</w:t>
      </w:r>
    </w:p>
    <w:p w14:paraId="0B5B6BBE" w14:textId="77777777" w:rsidR="004C6E8A" w:rsidRDefault="004C6E8A" w:rsidP="004C6E8A">
      <w:pPr>
        <w:spacing w:line="276" w:lineRule="auto"/>
        <w:ind w:firstLine="1134"/>
        <w:jc w:val="both"/>
        <w:rPr>
          <w:rFonts w:ascii="Times New Roman" w:hAnsi="Times New Roman" w:cs="Times New Roman"/>
          <w:b/>
          <w:bCs/>
          <w:highlight w:val="yellow"/>
        </w:rPr>
      </w:pPr>
    </w:p>
    <w:p w14:paraId="74F85D6C" w14:textId="601C5CF5" w:rsidR="004C6E8A" w:rsidRPr="004C6E8A" w:rsidRDefault="004C6E8A" w:rsidP="004C6E8A">
      <w:pPr>
        <w:spacing w:line="276" w:lineRule="auto"/>
        <w:ind w:firstLine="1134"/>
        <w:jc w:val="center"/>
        <w:rPr>
          <w:rFonts w:ascii="Times New Roman" w:hAnsi="Times New Roman" w:cs="Times New Roman"/>
          <w:sz w:val="20"/>
          <w:szCs w:val="20"/>
        </w:rPr>
      </w:pPr>
      <w:r w:rsidRPr="001155D2">
        <w:rPr>
          <w:rFonts w:ascii="Times New Roman" w:hAnsi="Times New Roman" w:cs="Times New Roman"/>
          <w:b/>
          <w:bCs/>
          <w:sz w:val="20"/>
          <w:szCs w:val="20"/>
        </w:rPr>
        <w:t xml:space="preserve">Quadro </w:t>
      </w:r>
      <w:r w:rsidR="001155D2" w:rsidRPr="001155D2">
        <w:rPr>
          <w:rFonts w:ascii="Times New Roman" w:hAnsi="Times New Roman" w:cs="Times New Roman"/>
          <w:b/>
          <w:bCs/>
          <w:sz w:val="20"/>
          <w:szCs w:val="20"/>
        </w:rPr>
        <w:t>6</w:t>
      </w:r>
      <w:r w:rsidRPr="004C6E8A">
        <w:rPr>
          <w:rFonts w:ascii="Times New Roman" w:hAnsi="Times New Roman" w:cs="Times New Roman"/>
          <w:b/>
          <w:bCs/>
          <w:sz w:val="20"/>
          <w:szCs w:val="20"/>
        </w:rPr>
        <w:t xml:space="preserve"> – Processos selecionados - Serviços de gestão de frota</w:t>
      </w:r>
    </w:p>
    <w:tbl>
      <w:tblPr>
        <w:tblStyle w:val="Tabelacomgrade"/>
        <w:tblW w:w="9634" w:type="dxa"/>
        <w:jc w:val="center"/>
        <w:tblLayout w:type="fixed"/>
        <w:tblLook w:val="04A0" w:firstRow="1" w:lastRow="0" w:firstColumn="1" w:lastColumn="0" w:noHBand="0" w:noVBand="1"/>
      </w:tblPr>
      <w:tblGrid>
        <w:gridCol w:w="500"/>
        <w:gridCol w:w="1763"/>
        <w:gridCol w:w="3119"/>
        <w:gridCol w:w="1134"/>
        <w:gridCol w:w="1276"/>
        <w:gridCol w:w="1842"/>
      </w:tblGrid>
      <w:tr w:rsidR="00A375C3" w:rsidRPr="00E95228" w14:paraId="6FDF6D39" w14:textId="77777777" w:rsidTr="00B7185F">
        <w:trPr>
          <w:jc w:val="center"/>
        </w:trPr>
        <w:tc>
          <w:tcPr>
            <w:tcW w:w="500" w:type="dxa"/>
            <w:shd w:val="clear" w:color="auto" w:fill="D9D9D9" w:themeFill="background1" w:themeFillShade="D9"/>
            <w:vAlign w:val="center"/>
          </w:tcPr>
          <w:p w14:paraId="7DF71518" w14:textId="77777777" w:rsidR="00A375C3" w:rsidRPr="00E95228" w:rsidRDefault="00A375C3" w:rsidP="007D5710">
            <w:pPr>
              <w:spacing w:line="276" w:lineRule="auto"/>
              <w:ind w:firstLine="0"/>
              <w:jc w:val="center"/>
              <w:rPr>
                <w:rFonts w:ascii="Times New Roman" w:eastAsia="Times New Roman" w:hAnsi="Times New Roman" w:cs="Times New Roman"/>
                <w:b/>
                <w:bCs/>
                <w:sz w:val="20"/>
                <w:szCs w:val="20"/>
                <w:lang w:eastAsia="pt-BR"/>
              </w:rPr>
            </w:pPr>
            <w:r w:rsidRPr="00E95228">
              <w:rPr>
                <w:rFonts w:ascii="Times New Roman" w:eastAsia="Times New Roman" w:hAnsi="Times New Roman" w:cs="Times New Roman"/>
                <w:b/>
                <w:bCs/>
                <w:sz w:val="20"/>
                <w:szCs w:val="20"/>
                <w:lang w:eastAsia="pt-BR"/>
              </w:rPr>
              <w:t>Nº.</w:t>
            </w:r>
          </w:p>
        </w:tc>
        <w:tc>
          <w:tcPr>
            <w:tcW w:w="1763" w:type="dxa"/>
            <w:shd w:val="clear" w:color="auto" w:fill="D9D9D9" w:themeFill="background1" w:themeFillShade="D9"/>
            <w:vAlign w:val="center"/>
          </w:tcPr>
          <w:p w14:paraId="0AF138BA" w14:textId="77777777" w:rsidR="00A375C3" w:rsidRPr="00E95228" w:rsidRDefault="00A375C3" w:rsidP="007D5710">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Processo SEI</w:t>
            </w:r>
          </w:p>
        </w:tc>
        <w:tc>
          <w:tcPr>
            <w:tcW w:w="3119" w:type="dxa"/>
            <w:shd w:val="clear" w:color="auto" w:fill="D9D9D9" w:themeFill="background1" w:themeFillShade="D9"/>
            <w:vAlign w:val="center"/>
          </w:tcPr>
          <w:p w14:paraId="6319E68C" w14:textId="77777777" w:rsidR="00A375C3" w:rsidRPr="00E95228" w:rsidRDefault="00A375C3" w:rsidP="007D5710">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Objeto</w:t>
            </w:r>
          </w:p>
        </w:tc>
        <w:tc>
          <w:tcPr>
            <w:tcW w:w="1134" w:type="dxa"/>
            <w:shd w:val="clear" w:color="auto" w:fill="D9D9D9" w:themeFill="background1" w:themeFillShade="D9"/>
            <w:vAlign w:val="center"/>
          </w:tcPr>
          <w:p w14:paraId="73AE84CA" w14:textId="77777777" w:rsidR="00A375C3" w:rsidRPr="00E95228" w:rsidRDefault="00A375C3" w:rsidP="007D5710">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 xml:space="preserve">Valor </w:t>
            </w:r>
          </w:p>
        </w:tc>
        <w:tc>
          <w:tcPr>
            <w:tcW w:w="1276" w:type="dxa"/>
            <w:shd w:val="clear" w:color="auto" w:fill="D9D9D9" w:themeFill="background1" w:themeFillShade="D9"/>
            <w:vAlign w:val="center"/>
          </w:tcPr>
          <w:p w14:paraId="092923DC" w14:textId="77777777" w:rsidR="00A375C3" w:rsidRPr="00E95228" w:rsidRDefault="00A375C3" w:rsidP="007D5710">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Mod. Licitatória</w:t>
            </w:r>
          </w:p>
        </w:tc>
        <w:tc>
          <w:tcPr>
            <w:tcW w:w="1842" w:type="dxa"/>
            <w:shd w:val="clear" w:color="auto" w:fill="D9D9D9" w:themeFill="background1" w:themeFillShade="D9"/>
            <w:vAlign w:val="center"/>
          </w:tcPr>
          <w:p w14:paraId="0A5166BF" w14:textId="77777777" w:rsidR="00A375C3" w:rsidRPr="00E95228" w:rsidRDefault="00A375C3" w:rsidP="007D5710">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Contrato</w:t>
            </w:r>
          </w:p>
        </w:tc>
      </w:tr>
      <w:tr w:rsidR="00A375C3" w:rsidRPr="00E95228" w14:paraId="620B0435" w14:textId="77777777" w:rsidTr="00B7185F">
        <w:trPr>
          <w:jc w:val="center"/>
        </w:trPr>
        <w:tc>
          <w:tcPr>
            <w:tcW w:w="500" w:type="dxa"/>
            <w:vAlign w:val="center"/>
          </w:tcPr>
          <w:p w14:paraId="696E1A9E" w14:textId="77777777"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E95228">
              <w:rPr>
                <w:rFonts w:ascii="Times New Roman" w:eastAsia="Times New Roman" w:hAnsi="Times New Roman" w:cs="Times New Roman"/>
                <w:sz w:val="20"/>
                <w:szCs w:val="20"/>
                <w:lang w:eastAsia="pt-BR"/>
              </w:rPr>
              <w:t>1</w:t>
            </w:r>
          </w:p>
        </w:tc>
        <w:tc>
          <w:tcPr>
            <w:tcW w:w="1763" w:type="dxa"/>
            <w:vMerge w:val="restart"/>
            <w:vAlign w:val="center"/>
          </w:tcPr>
          <w:p w14:paraId="4000036E" w14:textId="5408CE43"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0002524-51.2022.4.06.8000</w:t>
            </w:r>
          </w:p>
        </w:tc>
        <w:tc>
          <w:tcPr>
            <w:tcW w:w="3119" w:type="dxa"/>
          </w:tcPr>
          <w:p w14:paraId="5B90593E" w14:textId="77777777" w:rsidR="00A375C3" w:rsidRPr="00E95228" w:rsidRDefault="00A375C3" w:rsidP="007D5710">
            <w:pPr>
              <w:spacing w:line="276" w:lineRule="auto"/>
              <w:ind w:firstLine="0"/>
              <w:jc w:val="both"/>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Prestação de serviços de gestão de frota de veículos para lavagem de automóveis, aquisição de peças, serviços de manutenção preventiva e corretiva, socorro mecânico e guincho, mediante rede de estabelecimentos próprios ou credenciados, para uso dos veículos oficiais da Justiça Federal da 6ª Região</w:t>
            </w:r>
          </w:p>
        </w:tc>
        <w:tc>
          <w:tcPr>
            <w:tcW w:w="1134" w:type="dxa"/>
            <w:vAlign w:val="center"/>
          </w:tcPr>
          <w:p w14:paraId="4BBC87E6" w14:textId="77777777" w:rsidR="00A375C3" w:rsidRPr="00E95228" w:rsidRDefault="00A375C3" w:rsidP="007D5710">
            <w:pPr>
              <w:spacing w:line="276" w:lineRule="auto"/>
              <w:ind w:firstLine="0"/>
              <w:jc w:val="right"/>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143.962,50</w:t>
            </w:r>
          </w:p>
        </w:tc>
        <w:tc>
          <w:tcPr>
            <w:tcW w:w="1276" w:type="dxa"/>
            <w:vAlign w:val="center"/>
          </w:tcPr>
          <w:p w14:paraId="1AB65D5F" w14:textId="77777777"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Pregão nº 40/2022</w:t>
            </w:r>
          </w:p>
        </w:tc>
        <w:tc>
          <w:tcPr>
            <w:tcW w:w="1842" w:type="dxa"/>
            <w:vAlign w:val="center"/>
          </w:tcPr>
          <w:p w14:paraId="6128BEAE" w14:textId="77777777" w:rsidR="00A375C3" w:rsidRPr="00A32611" w:rsidRDefault="00A375C3" w:rsidP="007D5710">
            <w:pPr>
              <w:spacing w:line="276" w:lineRule="auto"/>
              <w:ind w:firstLine="0"/>
              <w:jc w:val="center"/>
              <w:rPr>
                <w:rFonts w:ascii="Times New Roman" w:hAnsi="Times New Roman" w:cs="Times New Roman"/>
                <w:sz w:val="20"/>
                <w:szCs w:val="20"/>
              </w:rPr>
            </w:pPr>
            <w:r w:rsidRPr="00A32611">
              <w:rPr>
                <w:rFonts w:ascii="Times New Roman" w:hAnsi="Times New Roman" w:cs="Times New Roman"/>
                <w:sz w:val="20"/>
                <w:szCs w:val="20"/>
              </w:rPr>
              <w:t>023/2023</w:t>
            </w:r>
          </w:p>
          <w:p w14:paraId="732809C0" w14:textId="08754345"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SEI </w:t>
            </w:r>
            <w:r w:rsidRPr="00B7185F">
              <w:rPr>
                <w:rFonts w:ascii="Times New Roman" w:hAnsi="Times New Roman" w:cs="Times New Roman"/>
                <w:sz w:val="20"/>
                <w:szCs w:val="20"/>
              </w:rPr>
              <w:t>0003001-06.2024.4.06.8000</w:t>
            </w:r>
          </w:p>
        </w:tc>
      </w:tr>
      <w:tr w:rsidR="00A375C3" w:rsidRPr="00E95228" w14:paraId="7D756AFE" w14:textId="77777777" w:rsidTr="00B7185F">
        <w:trPr>
          <w:jc w:val="center"/>
        </w:trPr>
        <w:tc>
          <w:tcPr>
            <w:tcW w:w="500" w:type="dxa"/>
            <w:vAlign w:val="center"/>
          </w:tcPr>
          <w:p w14:paraId="5BAD5006" w14:textId="77777777"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E95228">
              <w:rPr>
                <w:rFonts w:ascii="Times New Roman" w:eastAsia="Times New Roman" w:hAnsi="Times New Roman" w:cs="Times New Roman"/>
                <w:sz w:val="20"/>
                <w:szCs w:val="20"/>
                <w:lang w:eastAsia="pt-BR"/>
              </w:rPr>
              <w:t>2</w:t>
            </w:r>
          </w:p>
        </w:tc>
        <w:tc>
          <w:tcPr>
            <w:tcW w:w="1763" w:type="dxa"/>
            <w:vMerge/>
            <w:vAlign w:val="center"/>
          </w:tcPr>
          <w:p w14:paraId="22E3F02A" w14:textId="77777777"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p>
        </w:tc>
        <w:tc>
          <w:tcPr>
            <w:tcW w:w="3119" w:type="dxa"/>
          </w:tcPr>
          <w:p w14:paraId="1D814A03" w14:textId="77777777" w:rsidR="00A375C3" w:rsidRPr="00E95228" w:rsidRDefault="00A375C3" w:rsidP="007D5710">
            <w:pPr>
              <w:spacing w:line="276" w:lineRule="auto"/>
              <w:ind w:firstLine="0"/>
              <w:jc w:val="both"/>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Prestação de serviços de gestão de frota de veículos para aquisição de combustíveis para uso dos veículos oficiais da Justiça Federal da 6ª Região</w:t>
            </w:r>
          </w:p>
        </w:tc>
        <w:tc>
          <w:tcPr>
            <w:tcW w:w="1134" w:type="dxa"/>
            <w:vAlign w:val="center"/>
          </w:tcPr>
          <w:p w14:paraId="040104E6" w14:textId="77777777" w:rsidR="00A375C3" w:rsidRPr="00E95228" w:rsidRDefault="00A375C3" w:rsidP="007D5710">
            <w:pPr>
              <w:spacing w:line="276" w:lineRule="auto"/>
              <w:ind w:firstLine="0"/>
              <w:jc w:val="right"/>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184.051,09</w:t>
            </w:r>
          </w:p>
        </w:tc>
        <w:tc>
          <w:tcPr>
            <w:tcW w:w="1276" w:type="dxa"/>
            <w:vAlign w:val="center"/>
          </w:tcPr>
          <w:p w14:paraId="36259AAF" w14:textId="77777777"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Pregão nº 40/2022</w:t>
            </w:r>
          </w:p>
        </w:tc>
        <w:tc>
          <w:tcPr>
            <w:tcW w:w="1842" w:type="dxa"/>
            <w:vAlign w:val="center"/>
          </w:tcPr>
          <w:p w14:paraId="5BAC0F14" w14:textId="77777777" w:rsidR="00A375C3" w:rsidRPr="00A32611" w:rsidRDefault="00A375C3" w:rsidP="007D5710">
            <w:pPr>
              <w:spacing w:line="276" w:lineRule="auto"/>
              <w:ind w:firstLine="0"/>
              <w:jc w:val="center"/>
              <w:rPr>
                <w:rFonts w:ascii="Times New Roman" w:hAnsi="Times New Roman" w:cs="Times New Roman"/>
                <w:sz w:val="20"/>
                <w:szCs w:val="20"/>
              </w:rPr>
            </w:pPr>
            <w:r w:rsidRPr="00A32611">
              <w:rPr>
                <w:rFonts w:ascii="Times New Roman" w:hAnsi="Times New Roman" w:cs="Times New Roman"/>
                <w:sz w:val="20"/>
                <w:szCs w:val="20"/>
              </w:rPr>
              <w:t>025/2023</w:t>
            </w:r>
          </w:p>
          <w:p w14:paraId="72CB547E" w14:textId="4FE17694"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SEI </w:t>
            </w:r>
            <w:r w:rsidRPr="00B7185F">
              <w:rPr>
                <w:rFonts w:ascii="Times New Roman" w:hAnsi="Times New Roman" w:cs="Times New Roman"/>
                <w:sz w:val="20"/>
                <w:szCs w:val="20"/>
              </w:rPr>
              <w:t>0003002-88.2024.4.06.8000</w:t>
            </w:r>
          </w:p>
        </w:tc>
      </w:tr>
      <w:tr w:rsidR="00A375C3" w:rsidRPr="00E95228" w14:paraId="37FA1FDE" w14:textId="77777777" w:rsidTr="00B7185F">
        <w:trPr>
          <w:jc w:val="center"/>
        </w:trPr>
        <w:tc>
          <w:tcPr>
            <w:tcW w:w="500" w:type="dxa"/>
            <w:vAlign w:val="center"/>
          </w:tcPr>
          <w:p w14:paraId="1C9690FB" w14:textId="77777777"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E95228">
              <w:rPr>
                <w:rFonts w:ascii="Times New Roman" w:eastAsia="Times New Roman" w:hAnsi="Times New Roman" w:cs="Times New Roman"/>
                <w:sz w:val="20"/>
                <w:szCs w:val="20"/>
                <w:lang w:eastAsia="pt-BR"/>
              </w:rPr>
              <w:t>3</w:t>
            </w:r>
          </w:p>
        </w:tc>
        <w:tc>
          <w:tcPr>
            <w:tcW w:w="1763" w:type="dxa"/>
            <w:vAlign w:val="center"/>
          </w:tcPr>
          <w:p w14:paraId="5744A6A7" w14:textId="5F39666B"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0000856-40.2025.4.06.8000</w:t>
            </w:r>
          </w:p>
        </w:tc>
        <w:tc>
          <w:tcPr>
            <w:tcW w:w="3119" w:type="dxa"/>
          </w:tcPr>
          <w:p w14:paraId="7FBA3AB7" w14:textId="77777777" w:rsidR="00A375C3" w:rsidRPr="00E95228" w:rsidRDefault="00A375C3" w:rsidP="007D5710">
            <w:pPr>
              <w:spacing w:line="276" w:lineRule="auto"/>
              <w:ind w:firstLine="0"/>
              <w:jc w:val="both"/>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Contratação de empresa (pessoa jurídica), por 12 (doze) meses, especializada na intermediação da aquisição de bens e serviços (gerenciamento de frota) para prestação de serviços continuados de administração, gerenciamento e controle da manutenção preventiva e corretiva da frota de veículos</w:t>
            </w:r>
          </w:p>
        </w:tc>
        <w:tc>
          <w:tcPr>
            <w:tcW w:w="1134" w:type="dxa"/>
            <w:vAlign w:val="center"/>
          </w:tcPr>
          <w:p w14:paraId="266B8DD2" w14:textId="77777777" w:rsidR="00A375C3" w:rsidRPr="00E95228" w:rsidRDefault="00A375C3" w:rsidP="007D5710">
            <w:pPr>
              <w:spacing w:line="276" w:lineRule="auto"/>
              <w:ind w:firstLine="0"/>
              <w:jc w:val="right"/>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887.040,00</w:t>
            </w:r>
          </w:p>
        </w:tc>
        <w:tc>
          <w:tcPr>
            <w:tcW w:w="1276" w:type="dxa"/>
            <w:vAlign w:val="center"/>
          </w:tcPr>
          <w:p w14:paraId="072C7733" w14:textId="77777777"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Ainda em fase de contratação</w:t>
            </w:r>
          </w:p>
        </w:tc>
        <w:tc>
          <w:tcPr>
            <w:tcW w:w="1842" w:type="dxa"/>
            <w:vAlign w:val="center"/>
          </w:tcPr>
          <w:p w14:paraId="4FE5A50F" w14:textId="77777777" w:rsidR="00A375C3" w:rsidRPr="00E95228" w:rsidRDefault="00A375C3" w:rsidP="007D5710">
            <w:pPr>
              <w:spacing w:line="276" w:lineRule="auto"/>
              <w:ind w:firstLine="0"/>
              <w:jc w:val="center"/>
              <w:rPr>
                <w:rFonts w:ascii="Times New Roman" w:eastAsia="Times New Roman" w:hAnsi="Times New Roman" w:cs="Times New Roman"/>
                <w:sz w:val="20"/>
                <w:szCs w:val="20"/>
                <w:lang w:eastAsia="pt-BR"/>
              </w:rPr>
            </w:pPr>
            <w:r w:rsidRPr="00A32611">
              <w:rPr>
                <w:rFonts w:ascii="Times New Roman" w:hAnsi="Times New Roman" w:cs="Times New Roman"/>
                <w:sz w:val="20"/>
                <w:szCs w:val="20"/>
              </w:rPr>
              <w:t>Ainda em fase de contratação</w:t>
            </w:r>
          </w:p>
        </w:tc>
      </w:tr>
    </w:tbl>
    <w:p w14:paraId="35F06AD4" w14:textId="4F118B6F" w:rsidR="008F6C77" w:rsidRPr="001155D2" w:rsidRDefault="001155D2" w:rsidP="008F6C77">
      <w:pPr>
        <w:spacing w:line="276" w:lineRule="auto"/>
        <w:ind w:firstLine="0"/>
        <w:jc w:val="both"/>
        <w:rPr>
          <w:rFonts w:ascii="Times New Roman" w:hAnsi="Times New Roman" w:cs="Times New Roman"/>
          <w:sz w:val="20"/>
          <w:szCs w:val="20"/>
        </w:rPr>
      </w:pPr>
      <w:r w:rsidRPr="001155D2">
        <w:rPr>
          <w:rFonts w:ascii="Times New Roman" w:hAnsi="Times New Roman" w:cs="Times New Roman"/>
          <w:sz w:val="20"/>
          <w:szCs w:val="20"/>
        </w:rPr>
        <w:t>Fonte: Elaborado pela equipe de auditoria</w:t>
      </w:r>
    </w:p>
    <w:p w14:paraId="47EFA621" w14:textId="01855B90" w:rsidR="008F6C77" w:rsidRDefault="008F6C77" w:rsidP="008F6C77">
      <w:pPr>
        <w:pStyle w:val="NormalWeb"/>
        <w:spacing w:before="240" w:beforeAutospacing="0" w:after="0" w:afterAutospacing="0"/>
        <w:ind w:right="108" w:firstLine="708"/>
        <w:jc w:val="both"/>
      </w:pPr>
      <w:r w:rsidRPr="008F6C77">
        <w:t>A fase de execução da auditoria, além da análise dos processos das contratações, contemplou inspeções físicas nos estacionamentos dos Edifícios Euclydes Reis Aguiar e Oscar Dias Corrêa para verificação da efetiva utilização, das condições adequadas de circulação, da guarda segura, da prevenção da ociosidade dos veículos e outros requisitos listados no “checklist Vistoria Física de Veículos” (id. 1377028).</w:t>
      </w:r>
      <w:r w:rsidR="00556751">
        <w:t xml:space="preserve"> Foram selecionados </w:t>
      </w:r>
      <w:r w:rsidR="00556751" w:rsidRPr="00556751">
        <w:t xml:space="preserve">pelo método não estatístico </w:t>
      </w:r>
      <w:r w:rsidR="00556751">
        <w:t xml:space="preserve">23 </w:t>
      </w:r>
      <w:r w:rsidR="00556751" w:rsidRPr="00556751">
        <w:t>veículos para compor a amostra a ser avaliada</w:t>
      </w:r>
      <w:r w:rsidR="00556751">
        <w:t>.</w:t>
      </w:r>
    </w:p>
    <w:p w14:paraId="60E9F09E" w14:textId="77777777" w:rsidR="00D02D3D" w:rsidRDefault="00D02D3D" w:rsidP="008F6C77">
      <w:pPr>
        <w:pStyle w:val="NormalWeb"/>
        <w:spacing w:before="240" w:beforeAutospacing="0" w:after="0" w:afterAutospacing="0"/>
        <w:ind w:right="108" w:firstLine="708"/>
        <w:jc w:val="both"/>
      </w:pPr>
    </w:p>
    <w:p w14:paraId="5016FF0D" w14:textId="77777777" w:rsidR="001B300A" w:rsidRDefault="001B300A" w:rsidP="008F6C77">
      <w:pPr>
        <w:pStyle w:val="NormalWeb"/>
        <w:spacing w:before="240" w:beforeAutospacing="0" w:after="0" w:afterAutospacing="0"/>
        <w:ind w:right="108" w:firstLine="708"/>
        <w:jc w:val="both"/>
      </w:pPr>
    </w:p>
    <w:p w14:paraId="4182DD4F" w14:textId="77777777" w:rsidR="001B300A" w:rsidRDefault="001B300A" w:rsidP="008F6C77">
      <w:pPr>
        <w:pStyle w:val="NormalWeb"/>
        <w:spacing w:before="240" w:beforeAutospacing="0" w:after="0" w:afterAutospacing="0"/>
        <w:ind w:right="108" w:firstLine="708"/>
        <w:jc w:val="both"/>
      </w:pPr>
    </w:p>
    <w:p w14:paraId="0D21F4CF" w14:textId="77777777" w:rsidR="001B300A" w:rsidRDefault="001B300A" w:rsidP="008F6C77">
      <w:pPr>
        <w:pStyle w:val="NormalWeb"/>
        <w:spacing w:before="240" w:beforeAutospacing="0" w:after="0" w:afterAutospacing="0"/>
        <w:ind w:right="108" w:firstLine="708"/>
        <w:jc w:val="both"/>
      </w:pPr>
    </w:p>
    <w:p w14:paraId="7980C9FF" w14:textId="10C36EAA" w:rsidR="004903D7" w:rsidRPr="00944D48" w:rsidRDefault="001B300A" w:rsidP="004B43BA">
      <w:pPr>
        <w:spacing w:line="276" w:lineRule="auto"/>
        <w:ind w:right="145"/>
        <w:jc w:val="center"/>
        <w:rPr>
          <w:rFonts w:ascii="Times New Roman" w:hAnsi="Times New Roman" w:cs="Times New Roman"/>
          <w:sz w:val="20"/>
          <w:szCs w:val="20"/>
        </w:rPr>
      </w:pPr>
      <w:r w:rsidRPr="00944D48">
        <w:rPr>
          <w:rFonts w:ascii="Times New Roman" w:hAnsi="Times New Roman" w:cs="Times New Roman"/>
          <w:b/>
          <w:bCs/>
          <w:sz w:val="20"/>
          <w:szCs w:val="20"/>
        </w:rPr>
        <w:t xml:space="preserve">Quadro </w:t>
      </w:r>
      <w:r w:rsidR="004B43BA" w:rsidRPr="00944D48">
        <w:rPr>
          <w:rFonts w:ascii="Times New Roman" w:hAnsi="Times New Roman" w:cs="Times New Roman"/>
          <w:b/>
          <w:bCs/>
          <w:sz w:val="20"/>
          <w:szCs w:val="20"/>
        </w:rPr>
        <w:t>7</w:t>
      </w:r>
      <w:r w:rsidRPr="00944D48">
        <w:rPr>
          <w:rFonts w:ascii="Times New Roman" w:hAnsi="Times New Roman" w:cs="Times New Roman"/>
          <w:b/>
          <w:bCs/>
          <w:sz w:val="20"/>
          <w:szCs w:val="20"/>
        </w:rPr>
        <w:t xml:space="preserve"> – Veículos da Amostra Avaliada</w:t>
      </w:r>
    </w:p>
    <w:tbl>
      <w:tblPr>
        <w:tblW w:w="4702"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0"/>
        <w:gridCol w:w="1277"/>
        <w:gridCol w:w="3119"/>
        <w:gridCol w:w="1275"/>
      </w:tblGrid>
      <w:tr w:rsidR="001B300A" w:rsidRPr="00B24DD1" w14:paraId="49850C08"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shd w:val="clear" w:color="auto" w:fill="DBDBDB" w:themeFill="accent3" w:themeFillTint="66"/>
            <w:tcMar>
              <w:top w:w="48" w:type="dxa"/>
              <w:left w:w="48" w:type="dxa"/>
              <w:bottom w:w="48" w:type="dxa"/>
              <w:right w:w="48" w:type="dxa"/>
            </w:tcMar>
            <w:vAlign w:val="center"/>
            <w:hideMark/>
          </w:tcPr>
          <w:p w14:paraId="15AF33BE" w14:textId="77777777" w:rsidR="001B300A" w:rsidRPr="002065CE" w:rsidRDefault="001B300A" w:rsidP="00154844">
            <w:pPr>
              <w:spacing w:line="276" w:lineRule="auto"/>
              <w:ind w:right="145" w:firstLine="0"/>
              <w:jc w:val="center"/>
              <w:rPr>
                <w:rFonts w:ascii="Times New Roman" w:hAnsi="Times New Roman" w:cs="Times New Roman"/>
                <w:b/>
                <w:bCs/>
                <w:sz w:val="20"/>
                <w:szCs w:val="20"/>
              </w:rPr>
            </w:pPr>
            <w:r w:rsidRPr="002065CE">
              <w:rPr>
                <w:rFonts w:ascii="Times New Roman" w:hAnsi="Times New Roman" w:cs="Times New Roman"/>
                <w:b/>
                <w:bCs/>
                <w:sz w:val="20"/>
                <w:szCs w:val="20"/>
              </w:rPr>
              <w:t>Veículo</w:t>
            </w:r>
          </w:p>
        </w:tc>
        <w:tc>
          <w:tcPr>
            <w:tcW w:w="727" w:type="pct"/>
            <w:tcBorders>
              <w:top w:val="single" w:sz="6" w:space="0" w:color="000000"/>
              <w:left w:val="single" w:sz="6" w:space="0" w:color="000000"/>
              <w:bottom w:val="single" w:sz="6" w:space="0" w:color="000000"/>
              <w:right w:val="single" w:sz="6" w:space="0" w:color="000000"/>
            </w:tcBorders>
            <w:shd w:val="clear" w:color="auto" w:fill="DBDBDB" w:themeFill="accent3" w:themeFillTint="66"/>
            <w:tcMar>
              <w:top w:w="48" w:type="dxa"/>
              <w:left w:w="48" w:type="dxa"/>
              <w:bottom w:w="48" w:type="dxa"/>
              <w:right w:w="48" w:type="dxa"/>
            </w:tcMar>
            <w:vAlign w:val="center"/>
            <w:hideMark/>
          </w:tcPr>
          <w:p w14:paraId="7D60CACC" w14:textId="77777777" w:rsidR="001B300A" w:rsidRPr="002065CE" w:rsidRDefault="001B300A" w:rsidP="00154844">
            <w:pPr>
              <w:spacing w:line="276" w:lineRule="auto"/>
              <w:ind w:right="145" w:firstLine="0"/>
              <w:jc w:val="center"/>
              <w:rPr>
                <w:rFonts w:ascii="Times New Roman" w:hAnsi="Times New Roman" w:cs="Times New Roman"/>
                <w:b/>
                <w:bCs/>
                <w:sz w:val="20"/>
                <w:szCs w:val="20"/>
              </w:rPr>
            </w:pPr>
            <w:r w:rsidRPr="002065CE">
              <w:rPr>
                <w:rFonts w:ascii="Times New Roman" w:hAnsi="Times New Roman" w:cs="Times New Roman"/>
                <w:b/>
                <w:bCs/>
                <w:sz w:val="20"/>
                <w:szCs w:val="20"/>
              </w:rPr>
              <w:t>Placa</w:t>
            </w:r>
          </w:p>
        </w:tc>
        <w:tc>
          <w:tcPr>
            <w:tcW w:w="1776" w:type="pct"/>
            <w:tcBorders>
              <w:top w:val="single" w:sz="6" w:space="0" w:color="000000"/>
              <w:left w:val="single" w:sz="6" w:space="0" w:color="000000"/>
              <w:bottom w:val="single" w:sz="6" w:space="0" w:color="000000"/>
              <w:right w:val="single" w:sz="6" w:space="0" w:color="000000"/>
            </w:tcBorders>
            <w:shd w:val="clear" w:color="auto" w:fill="DBDBDB" w:themeFill="accent3" w:themeFillTint="66"/>
            <w:tcMar>
              <w:top w:w="48" w:type="dxa"/>
              <w:left w:w="48" w:type="dxa"/>
              <w:bottom w:w="48" w:type="dxa"/>
              <w:right w:w="48" w:type="dxa"/>
            </w:tcMar>
            <w:vAlign w:val="center"/>
            <w:hideMark/>
          </w:tcPr>
          <w:p w14:paraId="0550FEF5" w14:textId="77777777" w:rsidR="001B300A" w:rsidRPr="002065CE" w:rsidRDefault="001B300A" w:rsidP="00154844">
            <w:pPr>
              <w:spacing w:line="276" w:lineRule="auto"/>
              <w:ind w:right="145" w:firstLine="0"/>
              <w:jc w:val="center"/>
              <w:rPr>
                <w:rFonts w:ascii="Times New Roman" w:hAnsi="Times New Roman" w:cs="Times New Roman"/>
                <w:b/>
                <w:bCs/>
                <w:sz w:val="20"/>
                <w:szCs w:val="20"/>
              </w:rPr>
            </w:pPr>
            <w:r w:rsidRPr="002065CE">
              <w:rPr>
                <w:rFonts w:ascii="Times New Roman" w:hAnsi="Times New Roman" w:cs="Times New Roman"/>
                <w:b/>
                <w:bCs/>
                <w:sz w:val="20"/>
                <w:szCs w:val="20"/>
              </w:rPr>
              <w:t>Veículo</w:t>
            </w:r>
          </w:p>
        </w:tc>
        <w:tc>
          <w:tcPr>
            <w:tcW w:w="726" w:type="pct"/>
            <w:tcBorders>
              <w:top w:val="single" w:sz="6" w:space="0" w:color="000000"/>
              <w:left w:val="single" w:sz="6" w:space="0" w:color="000000"/>
              <w:bottom w:val="single" w:sz="6" w:space="0" w:color="000000"/>
              <w:right w:val="single" w:sz="6" w:space="0" w:color="000000"/>
            </w:tcBorders>
            <w:shd w:val="clear" w:color="auto" w:fill="DBDBDB" w:themeFill="accent3" w:themeFillTint="66"/>
            <w:tcMar>
              <w:top w:w="48" w:type="dxa"/>
              <w:left w:w="48" w:type="dxa"/>
              <w:bottom w:w="48" w:type="dxa"/>
              <w:right w:w="48" w:type="dxa"/>
            </w:tcMar>
            <w:vAlign w:val="center"/>
            <w:hideMark/>
          </w:tcPr>
          <w:p w14:paraId="0F51A073" w14:textId="77777777" w:rsidR="001B300A" w:rsidRPr="002065CE" w:rsidRDefault="001B300A" w:rsidP="00154844">
            <w:pPr>
              <w:spacing w:line="276" w:lineRule="auto"/>
              <w:ind w:right="145" w:firstLine="0"/>
              <w:jc w:val="center"/>
              <w:rPr>
                <w:rFonts w:ascii="Times New Roman" w:hAnsi="Times New Roman" w:cs="Times New Roman"/>
                <w:b/>
                <w:bCs/>
                <w:sz w:val="20"/>
                <w:szCs w:val="20"/>
              </w:rPr>
            </w:pPr>
            <w:r w:rsidRPr="002065CE">
              <w:rPr>
                <w:rFonts w:ascii="Times New Roman" w:hAnsi="Times New Roman" w:cs="Times New Roman"/>
                <w:b/>
                <w:bCs/>
                <w:sz w:val="20"/>
                <w:szCs w:val="20"/>
              </w:rPr>
              <w:t>Placa</w:t>
            </w:r>
          </w:p>
        </w:tc>
      </w:tr>
      <w:tr w:rsidR="001B300A" w:rsidRPr="00B24DD1" w14:paraId="5AC27313"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02B67D9" w14:textId="77777777" w:rsidR="001B300A" w:rsidRPr="00235A34" w:rsidRDefault="001B300A" w:rsidP="00BB6A01">
            <w:pPr>
              <w:spacing w:line="276" w:lineRule="auto"/>
              <w:ind w:right="145" w:firstLine="0"/>
              <w:rPr>
                <w:rFonts w:ascii="Times New Roman" w:hAnsi="Times New Roman" w:cs="Times New Roman"/>
                <w:sz w:val="20"/>
                <w:szCs w:val="20"/>
                <w:lang w:val="en-US"/>
              </w:rPr>
            </w:pPr>
            <w:r w:rsidRPr="00235A34">
              <w:rPr>
                <w:rFonts w:ascii="Times New Roman" w:hAnsi="Times New Roman" w:cs="Times New Roman"/>
                <w:sz w:val="20"/>
                <w:szCs w:val="20"/>
                <w:lang w:val="en-US"/>
              </w:rPr>
              <w:t xml:space="preserve">Trailblazer Premier 2.8 tb. diesel </w:t>
            </w:r>
            <w:proofErr w:type="spellStart"/>
            <w:r w:rsidRPr="00235A34">
              <w:rPr>
                <w:rFonts w:ascii="Times New Roman" w:hAnsi="Times New Roman" w:cs="Times New Roman"/>
                <w:sz w:val="20"/>
                <w:szCs w:val="20"/>
                <w:lang w:val="en-US"/>
              </w:rPr>
              <w:t>Aut</w:t>
            </w:r>
            <w:proofErr w:type="spellEnd"/>
            <w:r w:rsidRPr="00235A34">
              <w:rPr>
                <w:rFonts w:ascii="Times New Roman" w:hAnsi="Times New Roman" w:cs="Times New Roman"/>
                <w:sz w:val="20"/>
                <w:szCs w:val="20"/>
                <w:lang w:val="en-US"/>
              </w:rPr>
              <w:t>.</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C3BBA9C"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SYE-7C53</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4A72D727" w14:textId="77777777" w:rsidR="001B300A" w:rsidRPr="00B24DD1" w:rsidRDefault="001B300A" w:rsidP="00BB6A01">
            <w:pPr>
              <w:spacing w:line="276" w:lineRule="auto"/>
              <w:ind w:right="145" w:firstLine="0"/>
              <w:rPr>
                <w:rFonts w:ascii="Times New Roman" w:hAnsi="Times New Roman" w:cs="Times New Roman"/>
                <w:sz w:val="20"/>
                <w:szCs w:val="20"/>
              </w:rPr>
            </w:pPr>
            <w:r w:rsidRPr="00B24DD1">
              <w:rPr>
                <w:rFonts w:ascii="Times New Roman" w:hAnsi="Times New Roman" w:cs="Times New Roman"/>
                <w:sz w:val="20"/>
                <w:szCs w:val="20"/>
              </w:rPr>
              <w:t>Focus Sedan 2.0 16V/2.0 16V Flex 4p</w:t>
            </w:r>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32B4BCF9"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GMF-6790</w:t>
            </w:r>
          </w:p>
        </w:tc>
      </w:tr>
      <w:tr w:rsidR="001B300A" w:rsidRPr="00B24DD1" w14:paraId="194AE02C"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0C578D7" w14:textId="77777777" w:rsidR="001B300A" w:rsidRPr="00B24DD1" w:rsidRDefault="001B300A" w:rsidP="00BB6A01">
            <w:pPr>
              <w:spacing w:line="276" w:lineRule="auto"/>
              <w:ind w:right="145" w:firstLine="0"/>
              <w:rPr>
                <w:rFonts w:ascii="Times New Roman" w:hAnsi="Times New Roman" w:cs="Times New Roman"/>
                <w:sz w:val="20"/>
                <w:szCs w:val="20"/>
              </w:rPr>
            </w:pPr>
            <w:proofErr w:type="spellStart"/>
            <w:r w:rsidRPr="00B24DD1">
              <w:rPr>
                <w:rFonts w:ascii="Times New Roman" w:hAnsi="Times New Roman" w:cs="Times New Roman"/>
                <w:sz w:val="20"/>
                <w:szCs w:val="20"/>
              </w:rPr>
              <w:t>Sentra</w:t>
            </w:r>
            <w:proofErr w:type="spellEnd"/>
            <w:r w:rsidRPr="00B24DD1">
              <w:rPr>
                <w:rFonts w:ascii="Times New Roman" w:hAnsi="Times New Roman" w:cs="Times New Roman"/>
                <w:sz w:val="20"/>
                <w:szCs w:val="20"/>
              </w:rPr>
              <w:t xml:space="preserve"> </w:t>
            </w:r>
            <w:proofErr w:type="spellStart"/>
            <w:r w:rsidRPr="00B24DD1">
              <w:rPr>
                <w:rFonts w:ascii="Times New Roman" w:hAnsi="Times New Roman" w:cs="Times New Roman"/>
                <w:sz w:val="20"/>
                <w:szCs w:val="20"/>
              </w:rPr>
              <w:t>Advance</w:t>
            </w:r>
            <w:proofErr w:type="spellEnd"/>
            <w:r w:rsidRPr="00B24DD1">
              <w:rPr>
                <w:rFonts w:ascii="Times New Roman" w:hAnsi="Times New Roman" w:cs="Times New Roman"/>
                <w:sz w:val="20"/>
                <w:szCs w:val="20"/>
              </w:rPr>
              <w:t xml:space="preserve"> 2.0 16V Aut.</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2B9C13F"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SYN-6I26</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B377285" w14:textId="77777777" w:rsidR="001B300A" w:rsidRPr="00235A34" w:rsidRDefault="001B300A" w:rsidP="00BB6A01">
            <w:pPr>
              <w:spacing w:line="276" w:lineRule="auto"/>
              <w:ind w:right="145" w:firstLine="0"/>
              <w:rPr>
                <w:rFonts w:ascii="Times New Roman" w:hAnsi="Times New Roman" w:cs="Times New Roman"/>
                <w:sz w:val="20"/>
                <w:szCs w:val="20"/>
                <w:lang w:val="en-US"/>
              </w:rPr>
            </w:pPr>
            <w:r w:rsidRPr="00235A34">
              <w:rPr>
                <w:rFonts w:ascii="Times New Roman" w:hAnsi="Times New Roman" w:cs="Times New Roman"/>
                <w:sz w:val="20"/>
                <w:szCs w:val="20"/>
                <w:lang w:val="en-US"/>
              </w:rPr>
              <w:t xml:space="preserve">C4 Lounge Tendance 2.0 Flex 4p </w:t>
            </w:r>
            <w:proofErr w:type="spellStart"/>
            <w:r w:rsidRPr="00235A34">
              <w:rPr>
                <w:rFonts w:ascii="Times New Roman" w:hAnsi="Times New Roman" w:cs="Times New Roman"/>
                <w:sz w:val="20"/>
                <w:szCs w:val="20"/>
                <w:lang w:val="en-US"/>
              </w:rPr>
              <w:t>Aut</w:t>
            </w:r>
            <w:proofErr w:type="spellEnd"/>
            <w:r w:rsidRPr="00235A34">
              <w:rPr>
                <w:rFonts w:ascii="Times New Roman" w:hAnsi="Times New Roman" w:cs="Times New Roman"/>
                <w:sz w:val="20"/>
                <w:szCs w:val="20"/>
                <w:lang w:val="en-US"/>
              </w:rPr>
              <w:t>.</w:t>
            </w:r>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931099E"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GMF-7635</w:t>
            </w:r>
          </w:p>
        </w:tc>
      </w:tr>
      <w:tr w:rsidR="001B300A" w:rsidRPr="00B24DD1" w14:paraId="3E4F5A97"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886AF6E" w14:textId="77777777" w:rsidR="001B300A" w:rsidRPr="00B24DD1" w:rsidRDefault="001B300A" w:rsidP="00BB6A01">
            <w:pPr>
              <w:spacing w:line="276" w:lineRule="auto"/>
              <w:ind w:right="145" w:firstLine="0"/>
              <w:rPr>
                <w:rFonts w:ascii="Times New Roman" w:hAnsi="Times New Roman" w:cs="Times New Roman"/>
                <w:sz w:val="20"/>
                <w:szCs w:val="20"/>
              </w:rPr>
            </w:pPr>
            <w:proofErr w:type="spellStart"/>
            <w:r w:rsidRPr="00B24DD1">
              <w:rPr>
                <w:rFonts w:ascii="Times New Roman" w:hAnsi="Times New Roman" w:cs="Times New Roman"/>
                <w:sz w:val="20"/>
                <w:szCs w:val="20"/>
              </w:rPr>
              <w:t>Trailblazer</w:t>
            </w:r>
            <w:proofErr w:type="spellEnd"/>
            <w:r w:rsidRPr="00B24DD1">
              <w:rPr>
                <w:rFonts w:ascii="Times New Roman" w:hAnsi="Times New Roman" w:cs="Times New Roman"/>
                <w:sz w:val="20"/>
                <w:szCs w:val="20"/>
              </w:rPr>
              <w:t xml:space="preserve"> LTZ 2.8 CTDI diesel Aut.</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204F8B0"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SHR-2F83</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3C536BA" w14:textId="77777777" w:rsidR="001B300A" w:rsidRPr="00B24DD1" w:rsidRDefault="001B300A" w:rsidP="00BB6A01">
            <w:pPr>
              <w:spacing w:line="276" w:lineRule="auto"/>
              <w:ind w:right="145" w:firstLine="0"/>
              <w:rPr>
                <w:rFonts w:ascii="Times New Roman" w:hAnsi="Times New Roman" w:cs="Times New Roman"/>
                <w:sz w:val="20"/>
                <w:szCs w:val="20"/>
              </w:rPr>
            </w:pPr>
            <w:r w:rsidRPr="00B24DD1">
              <w:rPr>
                <w:rFonts w:ascii="Times New Roman" w:hAnsi="Times New Roman" w:cs="Times New Roman"/>
                <w:sz w:val="20"/>
                <w:szCs w:val="20"/>
              </w:rPr>
              <w:t>Focus Sedan 2.0 16V/2.0 16V Flex 4p</w:t>
            </w:r>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FD15FA7"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QNN-9922</w:t>
            </w:r>
          </w:p>
        </w:tc>
      </w:tr>
      <w:tr w:rsidR="001B300A" w:rsidRPr="00B24DD1" w14:paraId="56C1727D"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553334B" w14:textId="77777777" w:rsidR="001B300A" w:rsidRPr="00235A34" w:rsidRDefault="001B300A" w:rsidP="00BB6A01">
            <w:pPr>
              <w:spacing w:line="276" w:lineRule="auto"/>
              <w:ind w:right="145" w:firstLine="0"/>
              <w:rPr>
                <w:rFonts w:ascii="Times New Roman" w:hAnsi="Times New Roman" w:cs="Times New Roman"/>
                <w:sz w:val="20"/>
                <w:szCs w:val="20"/>
                <w:lang w:val="en-US"/>
              </w:rPr>
            </w:pPr>
            <w:r w:rsidRPr="00235A34">
              <w:rPr>
                <w:rFonts w:ascii="Times New Roman" w:hAnsi="Times New Roman" w:cs="Times New Roman"/>
                <w:sz w:val="20"/>
                <w:szCs w:val="20"/>
                <w:lang w:val="en-US"/>
              </w:rPr>
              <w:t xml:space="preserve">Onix Sedan Plus 1.0 12V TB Flex </w:t>
            </w:r>
            <w:proofErr w:type="spellStart"/>
            <w:r w:rsidRPr="00235A34">
              <w:rPr>
                <w:rFonts w:ascii="Times New Roman" w:hAnsi="Times New Roman" w:cs="Times New Roman"/>
                <w:sz w:val="20"/>
                <w:szCs w:val="20"/>
                <w:lang w:val="en-US"/>
              </w:rPr>
              <w:t>Aut</w:t>
            </w:r>
            <w:proofErr w:type="spellEnd"/>
            <w:r w:rsidRPr="00235A34">
              <w:rPr>
                <w:rFonts w:ascii="Times New Roman" w:hAnsi="Times New Roman" w:cs="Times New Roman"/>
                <w:sz w:val="20"/>
                <w:szCs w:val="20"/>
                <w:lang w:val="en-US"/>
              </w:rPr>
              <w:t>.</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3E36EF4"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RMG-2H56</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7247503" w14:textId="77777777" w:rsidR="001B300A" w:rsidRPr="00B24DD1" w:rsidRDefault="001B300A" w:rsidP="00BB6A01">
            <w:pPr>
              <w:spacing w:line="276" w:lineRule="auto"/>
              <w:ind w:right="145" w:firstLine="0"/>
              <w:rPr>
                <w:rFonts w:ascii="Times New Roman" w:hAnsi="Times New Roman" w:cs="Times New Roman"/>
                <w:sz w:val="20"/>
                <w:szCs w:val="20"/>
              </w:rPr>
            </w:pPr>
            <w:r w:rsidRPr="00B24DD1">
              <w:rPr>
                <w:rFonts w:ascii="Times New Roman" w:hAnsi="Times New Roman" w:cs="Times New Roman"/>
                <w:sz w:val="20"/>
                <w:szCs w:val="20"/>
              </w:rPr>
              <w:t xml:space="preserve">Corolla </w:t>
            </w:r>
            <w:proofErr w:type="spellStart"/>
            <w:r w:rsidRPr="00B24DD1">
              <w:rPr>
                <w:rFonts w:ascii="Times New Roman" w:hAnsi="Times New Roman" w:cs="Times New Roman"/>
                <w:sz w:val="20"/>
                <w:szCs w:val="20"/>
              </w:rPr>
              <w:t>XEi</w:t>
            </w:r>
            <w:proofErr w:type="spellEnd"/>
            <w:r w:rsidRPr="00B24DD1">
              <w:rPr>
                <w:rFonts w:ascii="Times New Roman" w:hAnsi="Times New Roman" w:cs="Times New Roman"/>
                <w:sz w:val="20"/>
                <w:szCs w:val="20"/>
              </w:rPr>
              <w:t xml:space="preserve"> 2.0 Flex 16V Aut.</w:t>
            </w:r>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CA9BCEC"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QNC-2780</w:t>
            </w:r>
          </w:p>
        </w:tc>
      </w:tr>
      <w:tr w:rsidR="001B300A" w:rsidRPr="00B24DD1" w14:paraId="10F9216E"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6520D8F" w14:textId="77777777" w:rsidR="001B300A" w:rsidRPr="00235A34" w:rsidRDefault="001B300A" w:rsidP="00BB6A01">
            <w:pPr>
              <w:spacing w:line="276" w:lineRule="auto"/>
              <w:ind w:right="145" w:firstLine="0"/>
              <w:rPr>
                <w:rFonts w:ascii="Times New Roman" w:hAnsi="Times New Roman" w:cs="Times New Roman"/>
                <w:sz w:val="20"/>
                <w:szCs w:val="20"/>
                <w:lang w:val="en-US"/>
              </w:rPr>
            </w:pPr>
            <w:r w:rsidRPr="00235A34">
              <w:rPr>
                <w:rFonts w:ascii="Times New Roman" w:hAnsi="Times New Roman" w:cs="Times New Roman"/>
                <w:sz w:val="20"/>
                <w:szCs w:val="20"/>
                <w:lang w:val="en-US"/>
              </w:rPr>
              <w:t xml:space="preserve">Onix Sedan Plus 1.0 12V TB Flex </w:t>
            </w:r>
            <w:proofErr w:type="spellStart"/>
            <w:r w:rsidRPr="00235A34">
              <w:rPr>
                <w:rFonts w:ascii="Times New Roman" w:hAnsi="Times New Roman" w:cs="Times New Roman"/>
                <w:sz w:val="20"/>
                <w:szCs w:val="20"/>
                <w:lang w:val="en-US"/>
              </w:rPr>
              <w:t>Aut</w:t>
            </w:r>
            <w:proofErr w:type="spellEnd"/>
            <w:r w:rsidRPr="00235A34">
              <w:rPr>
                <w:rFonts w:ascii="Times New Roman" w:hAnsi="Times New Roman" w:cs="Times New Roman"/>
                <w:sz w:val="20"/>
                <w:szCs w:val="20"/>
                <w:lang w:val="en-US"/>
              </w:rPr>
              <w:t>.</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4DF1339"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RMG-2H58</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1CF1373E" w14:textId="77777777" w:rsidR="001B300A" w:rsidRPr="00B24DD1" w:rsidRDefault="001B300A" w:rsidP="00BB6A01">
            <w:pPr>
              <w:spacing w:line="276" w:lineRule="auto"/>
              <w:ind w:right="145" w:firstLine="0"/>
              <w:rPr>
                <w:rFonts w:ascii="Times New Roman" w:hAnsi="Times New Roman" w:cs="Times New Roman"/>
                <w:sz w:val="20"/>
                <w:szCs w:val="20"/>
              </w:rPr>
            </w:pPr>
            <w:proofErr w:type="spellStart"/>
            <w:r w:rsidRPr="00B24DD1">
              <w:rPr>
                <w:rFonts w:ascii="Times New Roman" w:hAnsi="Times New Roman" w:cs="Times New Roman"/>
                <w:sz w:val="20"/>
                <w:szCs w:val="20"/>
              </w:rPr>
              <w:t>Renaul</w:t>
            </w:r>
            <w:proofErr w:type="spellEnd"/>
            <w:r w:rsidRPr="00B24DD1">
              <w:rPr>
                <w:rFonts w:ascii="Times New Roman" w:hAnsi="Times New Roman" w:cs="Times New Roman"/>
                <w:sz w:val="20"/>
                <w:szCs w:val="20"/>
              </w:rPr>
              <w:t xml:space="preserve"> Logan </w:t>
            </w:r>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6CE10E93"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GMF-7150</w:t>
            </w:r>
          </w:p>
        </w:tc>
      </w:tr>
      <w:tr w:rsidR="001B300A" w:rsidRPr="00B24DD1" w14:paraId="79B53477"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0842E89" w14:textId="77777777" w:rsidR="001B300A" w:rsidRPr="00B24DD1" w:rsidRDefault="001B300A" w:rsidP="00BB6A01">
            <w:pPr>
              <w:spacing w:line="276" w:lineRule="auto"/>
              <w:ind w:right="145" w:firstLine="0"/>
              <w:rPr>
                <w:rFonts w:ascii="Times New Roman" w:hAnsi="Times New Roman" w:cs="Times New Roman"/>
                <w:sz w:val="20"/>
                <w:szCs w:val="20"/>
              </w:rPr>
            </w:pPr>
            <w:proofErr w:type="spellStart"/>
            <w:r w:rsidRPr="00B24DD1">
              <w:rPr>
                <w:rFonts w:ascii="Times New Roman" w:hAnsi="Times New Roman" w:cs="Times New Roman"/>
                <w:sz w:val="20"/>
                <w:szCs w:val="20"/>
              </w:rPr>
              <w:t>Sentra</w:t>
            </w:r>
            <w:proofErr w:type="spellEnd"/>
            <w:r w:rsidRPr="00B24DD1">
              <w:rPr>
                <w:rFonts w:ascii="Times New Roman" w:hAnsi="Times New Roman" w:cs="Times New Roman"/>
                <w:sz w:val="20"/>
                <w:szCs w:val="20"/>
              </w:rPr>
              <w:t xml:space="preserve"> </w:t>
            </w:r>
            <w:proofErr w:type="spellStart"/>
            <w:r w:rsidRPr="00B24DD1">
              <w:rPr>
                <w:rFonts w:ascii="Times New Roman" w:hAnsi="Times New Roman" w:cs="Times New Roman"/>
                <w:sz w:val="20"/>
                <w:szCs w:val="20"/>
              </w:rPr>
              <w:t>Advance</w:t>
            </w:r>
            <w:proofErr w:type="spellEnd"/>
            <w:r w:rsidRPr="00B24DD1">
              <w:rPr>
                <w:rFonts w:ascii="Times New Roman" w:hAnsi="Times New Roman" w:cs="Times New Roman"/>
                <w:sz w:val="20"/>
                <w:szCs w:val="20"/>
              </w:rPr>
              <w:t xml:space="preserve"> 2.0 16V Aut.</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9FA12BD"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SYN-6I52</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9ADB5BF" w14:textId="77777777" w:rsidR="001B300A" w:rsidRPr="00235A34" w:rsidRDefault="001B300A" w:rsidP="00BB6A01">
            <w:pPr>
              <w:spacing w:line="276" w:lineRule="auto"/>
              <w:ind w:right="145" w:firstLine="0"/>
              <w:rPr>
                <w:rFonts w:ascii="Times New Roman" w:hAnsi="Times New Roman" w:cs="Times New Roman"/>
                <w:sz w:val="20"/>
                <w:szCs w:val="20"/>
                <w:lang w:val="en-US"/>
              </w:rPr>
            </w:pPr>
            <w:r w:rsidRPr="00235A34">
              <w:rPr>
                <w:rFonts w:ascii="Times New Roman" w:hAnsi="Times New Roman" w:cs="Times New Roman"/>
                <w:sz w:val="20"/>
                <w:szCs w:val="20"/>
                <w:lang w:val="en-US"/>
              </w:rPr>
              <w:t xml:space="preserve">Corsa Sed. Premium 1.8 MPFI 8V </w:t>
            </w:r>
            <w:proofErr w:type="spellStart"/>
            <w:r w:rsidRPr="00235A34">
              <w:rPr>
                <w:rFonts w:ascii="Times New Roman" w:hAnsi="Times New Roman" w:cs="Times New Roman"/>
                <w:sz w:val="20"/>
                <w:szCs w:val="20"/>
                <w:lang w:val="en-US"/>
              </w:rPr>
              <w:t>FlexPower</w:t>
            </w:r>
            <w:proofErr w:type="spellEnd"/>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8225F78"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GMF-5682</w:t>
            </w:r>
          </w:p>
        </w:tc>
      </w:tr>
      <w:tr w:rsidR="001B300A" w:rsidRPr="00B24DD1" w14:paraId="487D8515"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7AAAA13" w14:textId="77777777" w:rsidR="001B300A" w:rsidRPr="00B24DD1" w:rsidRDefault="001B300A" w:rsidP="00BB6A01">
            <w:pPr>
              <w:spacing w:line="276" w:lineRule="auto"/>
              <w:ind w:right="145" w:firstLine="0"/>
              <w:rPr>
                <w:rFonts w:ascii="Times New Roman" w:hAnsi="Times New Roman" w:cs="Times New Roman"/>
                <w:sz w:val="20"/>
                <w:szCs w:val="20"/>
              </w:rPr>
            </w:pPr>
            <w:proofErr w:type="spellStart"/>
            <w:r w:rsidRPr="00B24DD1">
              <w:rPr>
                <w:rFonts w:ascii="Times New Roman" w:hAnsi="Times New Roman" w:cs="Times New Roman"/>
                <w:sz w:val="20"/>
                <w:szCs w:val="20"/>
              </w:rPr>
              <w:t>Sentra</w:t>
            </w:r>
            <w:proofErr w:type="spellEnd"/>
            <w:r w:rsidRPr="00B24DD1">
              <w:rPr>
                <w:rFonts w:ascii="Times New Roman" w:hAnsi="Times New Roman" w:cs="Times New Roman"/>
                <w:sz w:val="20"/>
                <w:szCs w:val="20"/>
              </w:rPr>
              <w:t xml:space="preserve"> </w:t>
            </w:r>
            <w:proofErr w:type="spellStart"/>
            <w:r w:rsidRPr="00B24DD1">
              <w:rPr>
                <w:rFonts w:ascii="Times New Roman" w:hAnsi="Times New Roman" w:cs="Times New Roman"/>
                <w:sz w:val="20"/>
                <w:szCs w:val="20"/>
              </w:rPr>
              <w:t>Advance</w:t>
            </w:r>
            <w:proofErr w:type="spellEnd"/>
            <w:r w:rsidRPr="00B24DD1">
              <w:rPr>
                <w:rFonts w:ascii="Times New Roman" w:hAnsi="Times New Roman" w:cs="Times New Roman"/>
                <w:sz w:val="20"/>
                <w:szCs w:val="20"/>
              </w:rPr>
              <w:t xml:space="preserve"> 2.0 16V Aut.</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94B63A9"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SYN-6I34</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C3B0C2E" w14:textId="77777777" w:rsidR="001B300A" w:rsidRPr="00235A34" w:rsidRDefault="001B300A" w:rsidP="00BB6A01">
            <w:pPr>
              <w:spacing w:line="276" w:lineRule="auto"/>
              <w:ind w:right="145" w:firstLine="0"/>
              <w:rPr>
                <w:rFonts w:ascii="Times New Roman" w:hAnsi="Times New Roman" w:cs="Times New Roman"/>
                <w:sz w:val="20"/>
                <w:szCs w:val="20"/>
                <w:lang w:val="en-US"/>
              </w:rPr>
            </w:pPr>
            <w:r w:rsidRPr="00235A34">
              <w:rPr>
                <w:rFonts w:ascii="Times New Roman" w:hAnsi="Times New Roman" w:cs="Times New Roman"/>
                <w:sz w:val="20"/>
                <w:szCs w:val="20"/>
                <w:lang w:val="en-US"/>
              </w:rPr>
              <w:t xml:space="preserve">S10 P-Up Advantage 2.4 MPFI </w:t>
            </w:r>
            <w:proofErr w:type="spellStart"/>
            <w:r w:rsidRPr="00235A34">
              <w:rPr>
                <w:rFonts w:ascii="Times New Roman" w:hAnsi="Times New Roman" w:cs="Times New Roman"/>
                <w:sz w:val="20"/>
                <w:szCs w:val="20"/>
                <w:lang w:val="en-US"/>
              </w:rPr>
              <w:t>F.Power</w:t>
            </w:r>
            <w:proofErr w:type="spellEnd"/>
            <w:r w:rsidRPr="00235A34">
              <w:rPr>
                <w:rFonts w:ascii="Times New Roman" w:hAnsi="Times New Roman" w:cs="Times New Roman"/>
                <w:sz w:val="20"/>
                <w:szCs w:val="20"/>
                <w:lang w:val="en-US"/>
              </w:rPr>
              <w:t xml:space="preserve"> CS</w:t>
            </w:r>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04F2CFC"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GMF-6478</w:t>
            </w:r>
          </w:p>
        </w:tc>
      </w:tr>
      <w:tr w:rsidR="001B300A" w:rsidRPr="00B24DD1" w14:paraId="7650D602"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2673FB0" w14:textId="77777777" w:rsidR="001B300A" w:rsidRPr="00B24DD1" w:rsidRDefault="001B300A" w:rsidP="00BB6A01">
            <w:pPr>
              <w:spacing w:line="276" w:lineRule="auto"/>
              <w:ind w:right="145" w:firstLine="0"/>
              <w:rPr>
                <w:rFonts w:ascii="Times New Roman" w:hAnsi="Times New Roman" w:cs="Times New Roman"/>
                <w:sz w:val="20"/>
                <w:szCs w:val="20"/>
              </w:rPr>
            </w:pPr>
            <w:proofErr w:type="spellStart"/>
            <w:r w:rsidRPr="00B24DD1">
              <w:rPr>
                <w:rFonts w:ascii="Times New Roman" w:hAnsi="Times New Roman" w:cs="Times New Roman"/>
                <w:sz w:val="20"/>
                <w:szCs w:val="20"/>
              </w:rPr>
              <w:t>Sentra</w:t>
            </w:r>
            <w:proofErr w:type="spellEnd"/>
            <w:r w:rsidRPr="00B24DD1">
              <w:rPr>
                <w:rFonts w:ascii="Times New Roman" w:hAnsi="Times New Roman" w:cs="Times New Roman"/>
                <w:sz w:val="20"/>
                <w:szCs w:val="20"/>
              </w:rPr>
              <w:t xml:space="preserve"> </w:t>
            </w:r>
            <w:proofErr w:type="spellStart"/>
            <w:r w:rsidRPr="00B24DD1">
              <w:rPr>
                <w:rFonts w:ascii="Times New Roman" w:hAnsi="Times New Roman" w:cs="Times New Roman"/>
                <w:sz w:val="20"/>
                <w:szCs w:val="20"/>
              </w:rPr>
              <w:t>Advance</w:t>
            </w:r>
            <w:proofErr w:type="spellEnd"/>
            <w:r w:rsidRPr="00B24DD1">
              <w:rPr>
                <w:rFonts w:ascii="Times New Roman" w:hAnsi="Times New Roman" w:cs="Times New Roman"/>
                <w:sz w:val="20"/>
                <w:szCs w:val="20"/>
              </w:rPr>
              <w:t xml:space="preserve"> 2.0 16V Aut.</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E02FA3D"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SYN-6I46</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7346AB95" w14:textId="77777777" w:rsidR="001B300A" w:rsidRPr="00B24DD1" w:rsidRDefault="001B300A" w:rsidP="00BB6A01">
            <w:pPr>
              <w:spacing w:line="276" w:lineRule="auto"/>
              <w:ind w:right="145" w:firstLine="0"/>
              <w:rPr>
                <w:rFonts w:ascii="Times New Roman" w:hAnsi="Times New Roman" w:cs="Times New Roman"/>
                <w:sz w:val="20"/>
                <w:szCs w:val="20"/>
              </w:rPr>
            </w:pPr>
            <w:r w:rsidRPr="00B24DD1">
              <w:rPr>
                <w:rFonts w:ascii="Times New Roman" w:hAnsi="Times New Roman" w:cs="Times New Roman"/>
                <w:sz w:val="20"/>
                <w:szCs w:val="20"/>
              </w:rPr>
              <w:t>Focus Sedan 2.0 16V/2.0 16V Flex 4p</w:t>
            </w:r>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79316085"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GMF-6788</w:t>
            </w:r>
          </w:p>
        </w:tc>
      </w:tr>
      <w:tr w:rsidR="001B300A" w:rsidRPr="00B24DD1" w14:paraId="331A1C6D"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62F0922" w14:textId="77777777" w:rsidR="001B300A" w:rsidRPr="00B24DD1" w:rsidRDefault="001B300A" w:rsidP="00BB6A01">
            <w:pPr>
              <w:spacing w:line="276" w:lineRule="auto"/>
              <w:ind w:right="145" w:firstLine="0"/>
              <w:rPr>
                <w:rFonts w:ascii="Times New Roman" w:hAnsi="Times New Roman" w:cs="Times New Roman"/>
                <w:sz w:val="20"/>
                <w:szCs w:val="20"/>
              </w:rPr>
            </w:pPr>
            <w:proofErr w:type="spellStart"/>
            <w:r w:rsidRPr="00B24DD1">
              <w:rPr>
                <w:rFonts w:ascii="Times New Roman" w:hAnsi="Times New Roman" w:cs="Times New Roman"/>
                <w:sz w:val="20"/>
                <w:szCs w:val="20"/>
              </w:rPr>
              <w:t>Sentra</w:t>
            </w:r>
            <w:proofErr w:type="spellEnd"/>
            <w:r w:rsidRPr="00B24DD1">
              <w:rPr>
                <w:rFonts w:ascii="Times New Roman" w:hAnsi="Times New Roman" w:cs="Times New Roman"/>
                <w:sz w:val="20"/>
                <w:szCs w:val="20"/>
              </w:rPr>
              <w:t xml:space="preserve"> </w:t>
            </w:r>
            <w:proofErr w:type="spellStart"/>
            <w:r w:rsidRPr="00B24DD1">
              <w:rPr>
                <w:rFonts w:ascii="Times New Roman" w:hAnsi="Times New Roman" w:cs="Times New Roman"/>
                <w:sz w:val="20"/>
                <w:szCs w:val="20"/>
              </w:rPr>
              <w:t>Advance</w:t>
            </w:r>
            <w:proofErr w:type="spellEnd"/>
            <w:r w:rsidRPr="00B24DD1">
              <w:rPr>
                <w:rFonts w:ascii="Times New Roman" w:hAnsi="Times New Roman" w:cs="Times New Roman"/>
                <w:sz w:val="20"/>
                <w:szCs w:val="20"/>
              </w:rPr>
              <w:t xml:space="preserve"> 2.0 16V Aut.</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57E2150"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SYN-6I33</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72D0CA3C" w14:textId="77777777" w:rsidR="001B300A" w:rsidRPr="00B24DD1" w:rsidRDefault="001B300A" w:rsidP="00BB6A01">
            <w:pPr>
              <w:spacing w:line="276" w:lineRule="auto"/>
              <w:ind w:right="145" w:firstLine="0"/>
              <w:rPr>
                <w:rFonts w:ascii="Times New Roman" w:hAnsi="Times New Roman" w:cs="Times New Roman"/>
                <w:sz w:val="20"/>
                <w:szCs w:val="20"/>
              </w:rPr>
            </w:pPr>
            <w:proofErr w:type="spellStart"/>
            <w:r w:rsidRPr="00B24DD1">
              <w:rPr>
                <w:rFonts w:ascii="Times New Roman" w:hAnsi="Times New Roman" w:cs="Times New Roman"/>
                <w:sz w:val="20"/>
                <w:szCs w:val="20"/>
              </w:rPr>
              <w:t>Trailblazer</w:t>
            </w:r>
            <w:proofErr w:type="spellEnd"/>
            <w:r w:rsidRPr="00B24DD1">
              <w:rPr>
                <w:rFonts w:ascii="Times New Roman" w:hAnsi="Times New Roman" w:cs="Times New Roman"/>
                <w:sz w:val="20"/>
                <w:szCs w:val="20"/>
              </w:rPr>
              <w:t xml:space="preserve"> LTZ 3.6 V6 Aut.</w:t>
            </w:r>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4EEB4746"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GMF-7876</w:t>
            </w:r>
          </w:p>
        </w:tc>
      </w:tr>
      <w:tr w:rsidR="001B300A" w:rsidRPr="00B24DD1" w14:paraId="1E75F82F"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0BC14CD4" w14:textId="77777777" w:rsidR="001B300A" w:rsidRPr="00B24DD1" w:rsidRDefault="001B300A" w:rsidP="00BB6A01">
            <w:pPr>
              <w:spacing w:line="276" w:lineRule="auto"/>
              <w:ind w:right="145" w:firstLine="0"/>
              <w:rPr>
                <w:rFonts w:ascii="Times New Roman" w:hAnsi="Times New Roman" w:cs="Times New Roman"/>
                <w:sz w:val="20"/>
                <w:szCs w:val="20"/>
              </w:rPr>
            </w:pPr>
            <w:r w:rsidRPr="00B24DD1">
              <w:rPr>
                <w:rFonts w:ascii="Times New Roman" w:hAnsi="Times New Roman" w:cs="Times New Roman"/>
                <w:sz w:val="20"/>
                <w:szCs w:val="20"/>
              </w:rPr>
              <w:t>Polo Sedan</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11AD2295"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GMF-5441</w:t>
            </w:r>
          </w:p>
        </w:tc>
        <w:tc>
          <w:tcPr>
            <w:tcW w:w="177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3A145F22" w14:textId="77777777" w:rsidR="001B300A" w:rsidRPr="00B24DD1" w:rsidRDefault="001B300A" w:rsidP="00BB6A01">
            <w:pPr>
              <w:spacing w:line="276" w:lineRule="auto"/>
              <w:ind w:right="145" w:firstLine="0"/>
              <w:rPr>
                <w:rFonts w:ascii="Times New Roman" w:hAnsi="Times New Roman" w:cs="Times New Roman"/>
                <w:sz w:val="20"/>
                <w:szCs w:val="20"/>
              </w:rPr>
            </w:pPr>
            <w:r w:rsidRPr="00B24DD1">
              <w:rPr>
                <w:rFonts w:ascii="Times New Roman" w:hAnsi="Times New Roman" w:cs="Times New Roman"/>
                <w:sz w:val="20"/>
                <w:szCs w:val="20"/>
              </w:rPr>
              <w:t>Polo Sedan</w:t>
            </w:r>
          </w:p>
        </w:tc>
        <w:tc>
          <w:tcPr>
            <w:tcW w:w="72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3A926D40"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GMF-5436</w:t>
            </w:r>
          </w:p>
        </w:tc>
      </w:tr>
      <w:tr w:rsidR="001B300A" w:rsidRPr="00B24DD1" w14:paraId="5B38999A"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2EBEE4F0" w14:textId="77777777" w:rsidR="001B300A" w:rsidRPr="00235A34" w:rsidRDefault="001B300A" w:rsidP="00BB6A01">
            <w:pPr>
              <w:spacing w:line="276" w:lineRule="auto"/>
              <w:ind w:right="145" w:firstLine="0"/>
              <w:rPr>
                <w:rFonts w:ascii="Times New Roman" w:hAnsi="Times New Roman" w:cs="Times New Roman"/>
                <w:sz w:val="20"/>
                <w:szCs w:val="20"/>
                <w:lang w:val="en-US"/>
              </w:rPr>
            </w:pPr>
            <w:r w:rsidRPr="00235A34">
              <w:rPr>
                <w:rFonts w:ascii="Times New Roman" w:hAnsi="Times New Roman" w:cs="Times New Roman"/>
                <w:sz w:val="20"/>
                <w:szCs w:val="20"/>
                <w:lang w:val="en-US"/>
              </w:rPr>
              <w:t xml:space="preserve">Corsa Sed. Premium 1.8 MPFI 8V </w:t>
            </w:r>
            <w:proofErr w:type="spellStart"/>
            <w:r w:rsidRPr="00235A34">
              <w:rPr>
                <w:rFonts w:ascii="Times New Roman" w:hAnsi="Times New Roman" w:cs="Times New Roman"/>
                <w:sz w:val="20"/>
                <w:szCs w:val="20"/>
                <w:lang w:val="en-US"/>
              </w:rPr>
              <w:t>FlexPower</w:t>
            </w:r>
            <w:proofErr w:type="spellEnd"/>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6C619810"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GMF-5684</w:t>
            </w:r>
          </w:p>
        </w:tc>
        <w:tc>
          <w:tcPr>
            <w:tcW w:w="1776" w:type="pct"/>
            <w:vMerge w:val="restart"/>
            <w:tcBorders>
              <w:top w:val="single" w:sz="6" w:space="0" w:color="000000"/>
              <w:left w:val="single" w:sz="6" w:space="0" w:color="000000"/>
              <w:right w:val="single" w:sz="6" w:space="0" w:color="000000"/>
            </w:tcBorders>
            <w:tcMar>
              <w:top w:w="48" w:type="dxa"/>
              <w:left w:w="48" w:type="dxa"/>
              <w:bottom w:w="48" w:type="dxa"/>
              <w:right w:w="48" w:type="dxa"/>
            </w:tcMar>
            <w:vAlign w:val="center"/>
          </w:tcPr>
          <w:p w14:paraId="77138596" w14:textId="77777777" w:rsidR="001B300A" w:rsidRPr="00235A34" w:rsidRDefault="001B300A" w:rsidP="00BB6A01">
            <w:pPr>
              <w:spacing w:line="276" w:lineRule="auto"/>
              <w:ind w:right="145" w:firstLine="0"/>
              <w:rPr>
                <w:rFonts w:ascii="Times New Roman" w:hAnsi="Times New Roman" w:cs="Times New Roman"/>
                <w:sz w:val="20"/>
                <w:szCs w:val="20"/>
                <w:lang w:val="en-US"/>
              </w:rPr>
            </w:pPr>
            <w:r w:rsidRPr="00235A34">
              <w:rPr>
                <w:rFonts w:ascii="Times New Roman" w:hAnsi="Times New Roman" w:cs="Times New Roman"/>
                <w:sz w:val="20"/>
                <w:szCs w:val="20"/>
                <w:lang w:val="en-US"/>
              </w:rPr>
              <w:t>L200 GL 2.5 4X4 CD Diesel</w:t>
            </w:r>
          </w:p>
        </w:tc>
        <w:tc>
          <w:tcPr>
            <w:tcW w:w="726" w:type="pct"/>
            <w:vMerge w:val="restart"/>
            <w:tcBorders>
              <w:top w:val="single" w:sz="6" w:space="0" w:color="000000"/>
              <w:left w:val="single" w:sz="6" w:space="0" w:color="000000"/>
              <w:right w:val="single" w:sz="6" w:space="0" w:color="000000"/>
            </w:tcBorders>
            <w:tcMar>
              <w:top w:w="48" w:type="dxa"/>
              <w:left w:w="48" w:type="dxa"/>
              <w:bottom w:w="48" w:type="dxa"/>
              <w:right w:w="48" w:type="dxa"/>
            </w:tcMar>
            <w:vAlign w:val="center"/>
          </w:tcPr>
          <w:p w14:paraId="42F8BB5C" w14:textId="77777777" w:rsidR="001B300A" w:rsidRPr="00B24DD1" w:rsidRDefault="001B300A" w:rsidP="00BB6A01">
            <w:pPr>
              <w:spacing w:line="276" w:lineRule="auto"/>
              <w:ind w:right="145" w:firstLine="0"/>
              <w:jc w:val="center"/>
              <w:rPr>
                <w:rFonts w:ascii="Times New Roman" w:hAnsi="Times New Roman" w:cs="Times New Roman"/>
                <w:sz w:val="20"/>
                <w:szCs w:val="20"/>
              </w:rPr>
            </w:pPr>
            <w:r w:rsidRPr="00B24DD1">
              <w:rPr>
                <w:rFonts w:ascii="Times New Roman" w:hAnsi="Times New Roman" w:cs="Times New Roman"/>
                <w:sz w:val="20"/>
                <w:szCs w:val="20"/>
              </w:rPr>
              <w:t>NEO-6F42</w:t>
            </w:r>
          </w:p>
        </w:tc>
      </w:tr>
      <w:tr w:rsidR="001B300A" w:rsidRPr="00B24DD1" w14:paraId="7FD42DDC" w14:textId="77777777" w:rsidTr="00BB6A01">
        <w:trPr>
          <w:trHeight w:val="340"/>
        </w:trPr>
        <w:tc>
          <w:tcPr>
            <w:tcW w:w="177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25699957" w14:textId="77777777" w:rsidR="001B300A" w:rsidRPr="00325037" w:rsidRDefault="001B300A" w:rsidP="00BB6A01">
            <w:pPr>
              <w:spacing w:line="276" w:lineRule="auto"/>
              <w:ind w:right="145" w:firstLine="0"/>
              <w:rPr>
                <w:rFonts w:ascii="Times New Roman" w:hAnsi="Times New Roman" w:cs="Times New Roman"/>
                <w:sz w:val="20"/>
                <w:szCs w:val="20"/>
              </w:rPr>
            </w:pPr>
            <w:r w:rsidRPr="00325037">
              <w:rPr>
                <w:rFonts w:ascii="Times New Roman" w:hAnsi="Times New Roman" w:cs="Times New Roman"/>
                <w:sz w:val="20"/>
                <w:szCs w:val="20"/>
              </w:rPr>
              <w:t>Focus Sedan 2.0 16V/2.0 16V Flex 4p</w:t>
            </w:r>
          </w:p>
        </w:tc>
        <w:tc>
          <w:tcPr>
            <w:tcW w:w="72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tcPr>
          <w:p w14:paraId="5F2C63C3" w14:textId="77777777" w:rsidR="001B300A" w:rsidRPr="00325037" w:rsidRDefault="001B300A" w:rsidP="00BB6A01">
            <w:pPr>
              <w:spacing w:line="276" w:lineRule="auto"/>
              <w:ind w:right="145" w:firstLine="0"/>
              <w:jc w:val="center"/>
              <w:rPr>
                <w:rFonts w:ascii="Times New Roman" w:hAnsi="Times New Roman" w:cs="Times New Roman"/>
                <w:sz w:val="20"/>
                <w:szCs w:val="20"/>
              </w:rPr>
            </w:pPr>
            <w:r w:rsidRPr="00325037">
              <w:rPr>
                <w:rFonts w:ascii="Times New Roman" w:hAnsi="Times New Roman" w:cs="Times New Roman"/>
                <w:sz w:val="20"/>
                <w:szCs w:val="20"/>
              </w:rPr>
              <w:t>HLF-7287</w:t>
            </w:r>
          </w:p>
        </w:tc>
        <w:tc>
          <w:tcPr>
            <w:tcW w:w="1776" w:type="pct"/>
            <w:vMerge/>
            <w:tcBorders>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tcPr>
          <w:p w14:paraId="44FC22C8" w14:textId="77777777" w:rsidR="001B300A" w:rsidRPr="001B300A" w:rsidRDefault="001B300A" w:rsidP="00B24DD1">
            <w:pPr>
              <w:spacing w:line="276" w:lineRule="auto"/>
              <w:ind w:right="145"/>
              <w:jc w:val="center"/>
              <w:rPr>
                <w:rFonts w:ascii="Times New Roman" w:hAnsi="Times New Roman" w:cs="Times New Roman"/>
                <w:b/>
                <w:bCs/>
                <w:sz w:val="20"/>
                <w:szCs w:val="20"/>
              </w:rPr>
            </w:pPr>
          </w:p>
        </w:tc>
        <w:tc>
          <w:tcPr>
            <w:tcW w:w="726" w:type="pct"/>
            <w:vMerge/>
            <w:tcBorders>
              <w:left w:val="single" w:sz="6" w:space="0" w:color="000000"/>
              <w:bottom w:val="single" w:sz="6" w:space="0" w:color="000000"/>
              <w:right w:val="single" w:sz="6" w:space="0" w:color="000000"/>
            </w:tcBorders>
            <w:shd w:val="clear" w:color="auto" w:fill="4DE6E6"/>
            <w:tcMar>
              <w:top w:w="48" w:type="dxa"/>
              <w:left w:w="48" w:type="dxa"/>
              <w:bottom w:w="48" w:type="dxa"/>
              <w:right w:w="48" w:type="dxa"/>
            </w:tcMar>
            <w:vAlign w:val="center"/>
          </w:tcPr>
          <w:p w14:paraId="17CF1E90" w14:textId="77777777" w:rsidR="001B300A" w:rsidRPr="001B300A" w:rsidRDefault="001B300A" w:rsidP="00B24DD1">
            <w:pPr>
              <w:spacing w:line="276" w:lineRule="auto"/>
              <w:ind w:right="145"/>
              <w:jc w:val="center"/>
              <w:rPr>
                <w:rFonts w:ascii="Times New Roman" w:hAnsi="Times New Roman" w:cs="Times New Roman"/>
                <w:b/>
                <w:bCs/>
                <w:sz w:val="20"/>
                <w:szCs w:val="20"/>
              </w:rPr>
            </w:pPr>
          </w:p>
        </w:tc>
      </w:tr>
    </w:tbl>
    <w:p w14:paraId="09EB5EC9" w14:textId="77777777" w:rsidR="002065CE" w:rsidRPr="001155D2" w:rsidRDefault="002065CE" w:rsidP="002065CE">
      <w:pPr>
        <w:spacing w:line="276" w:lineRule="auto"/>
        <w:ind w:firstLine="0"/>
        <w:jc w:val="both"/>
        <w:rPr>
          <w:rFonts w:ascii="Times New Roman" w:hAnsi="Times New Roman" w:cs="Times New Roman"/>
          <w:sz w:val="20"/>
          <w:szCs w:val="20"/>
        </w:rPr>
      </w:pPr>
      <w:r w:rsidRPr="001155D2">
        <w:rPr>
          <w:rFonts w:ascii="Times New Roman" w:hAnsi="Times New Roman" w:cs="Times New Roman"/>
          <w:sz w:val="20"/>
          <w:szCs w:val="20"/>
        </w:rPr>
        <w:t>Fonte: Elaborado pela equipe de auditoria</w:t>
      </w:r>
    </w:p>
    <w:p w14:paraId="09F04FEE" w14:textId="77777777" w:rsidR="001B300A" w:rsidRPr="00B24DD1" w:rsidRDefault="001B300A" w:rsidP="002065CE">
      <w:pPr>
        <w:ind w:right="147"/>
        <w:jc w:val="center"/>
        <w:rPr>
          <w:rFonts w:ascii="Times New Roman" w:hAnsi="Times New Roman" w:cs="Times New Roman"/>
          <w:b/>
          <w:bCs/>
          <w:sz w:val="20"/>
          <w:szCs w:val="20"/>
        </w:rPr>
      </w:pPr>
    </w:p>
    <w:p w14:paraId="640080FD" w14:textId="0591DD9E" w:rsidR="007C663A" w:rsidRDefault="007C663A" w:rsidP="008F6C77">
      <w:pPr>
        <w:pStyle w:val="NormalWeb"/>
        <w:spacing w:before="240" w:beforeAutospacing="0" w:after="0" w:afterAutospacing="0"/>
        <w:ind w:right="108" w:firstLine="708"/>
        <w:jc w:val="both"/>
      </w:pPr>
      <w:r w:rsidRPr="008F6C77">
        <w:t>A auditoria detectou algumas fragilidades na gestão da frota oficial do TRF6, especialmente no que tange ao cumprimento de normativos internos, à observância da legislação</w:t>
      </w:r>
      <w:r w:rsidRPr="007C663A">
        <w:t xml:space="preserve"> ambiental vigente e à adoção de práticas sustentáveis. Com isso, apontou-se a necessidade de aprimoramento dos controles internos, da capacitação dos servidores envolvidos e da integração entre os aspectos técnicos e legais nos processos de contratação e gestão operacional.</w:t>
      </w:r>
    </w:p>
    <w:p w14:paraId="46E08817" w14:textId="4666776E" w:rsidR="007C663A" w:rsidRPr="007C663A" w:rsidRDefault="007C663A" w:rsidP="007C663A">
      <w:pPr>
        <w:spacing w:before="240"/>
        <w:ind w:firstLine="708"/>
        <w:jc w:val="both"/>
        <w:rPr>
          <w:rFonts w:ascii="Times New Roman" w:hAnsi="Times New Roman" w:cs="Times New Roman"/>
          <w:sz w:val="24"/>
          <w:szCs w:val="24"/>
        </w:rPr>
      </w:pPr>
      <w:r w:rsidRPr="007C663A">
        <w:rPr>
          <w:rFonts w:ascii="Times New Roman" w:hAnsi="Times New Roman" w:cs="Times New Roman"/>
          <w:sz w:val="24"/>
          <w:szCs w:val="24"/>
        </w:rPr>
        <w:t>Entre os principais achados, destacam-se:</w:t>
      </w:r>
    </w:p>
    <w:p w14:paraId="2ED1C222" w14:textId="07D7C24C" w:rsidR="007C663A" w:rsidRPr="009A6DDB" w:rsidRDefault="00AC0473" w:rsidP="007F4AF7">
      <w:pPr>
        <w:pStyle w:val="PargrafodaLista"/>
        <w:numPr>
          <w:ilvl w:val="0"/>
          <w:numId w:val="48"/>
        </w:numPr>
        <w:tabs>
          <w:tab w:val="clear" w:pos="1353"/>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1809A8">
        <w:rPr>
          <w:rFonts w:ascii="Times New Roman" w:eastAsia="Times New Roman" w:hAnsi="Times New Roman" w:cs="Times New Roman"/>
          <w:color w:val="000000"/>
          <w:sz w:val="24"/>
          <w:szCs w:val="24"/>
          <w:lang w:eastAsia="pt-BR"/>
        </w:rPr>
        <w:t xml:space="preserve"> </w:t>
      </w:r>
      <w:r w:rsidR="007C663A" w:rsidRPr="009B29DC">
        <w:rPr>
          <w:rFonts w:ascii="Times New Roman" w:eastAsia="Times New Roman" w:hAnsi="Times New Roman" w:cs="Times New Roman"/>
          <w:color w:val="000000"/>
          <w:sz w:val="24"/>
          <w:szCs w:val="24"/>
          <w:lang w:eastAsia="pt-BR"/>
        </w:rPr>
        <w:t xml:space="preserve">A ausência de registros sistemáticos das vistorias diárias dos veículos, em desacordo com as Instruções </w:t>
      </w:r>
      <w:r w:rsidR="007C663A" w:rsidRPr="009A6DDB">
        <w:rPr>
          <w:rFonts w:ascii="Times New Roman" w:eastAsia="Times New Roman" w:hAnsi="Times New Roman" w:cs="Times New Roman"/>
          <w:color w:val="000000"/>
          <w:sz w:val="24"/>
          <w:szCs w:val="24"/>
          <w:lang w:eastAsia="pt-BR"/>
        </w:rPr>
        <w:t>Normativas </w:t>
      </w:r>
      <w:hyperlink r:id="rId66" w:tgtFrame="_blank" w:history="1">
        <w:hyperlink r:id="rId67" w:tgtFrame="_blank" w:history="1">
          <w:r w:rsidR="009A6DDB" w:rsidRPr="009A6DDB">
            <w:rPr>
              <w:rStyle w:val="Hyperlink"/>
              <w:rFonts w:ascii="Times New Roman" w:eastAsia="Times New Roman" w:hAnsi="Times New Roman" w:cs="Times New Roman"/>
              <w:sz w:val="24"/>
              <w:szCs w:val="24"/>
              <w:lang w:eastAsia="pt-BR"/>
            </w:rPr>
            <w:t>Instrução Normativa 4/2010 CJF</w:t>
          </w:r>
        </w:hyperlink>
        <w:r w:rsidR="007C663A" w:rsidRPr="009A6DDB">
          <w:rPr>
            <w:rFonts w:ascii="Times New Roman" w:eastAsia="Times New Roman" w:hAnsi="Times New Roman" w:cs="Times New Roman"/>
            <w:color w:val="000000"/>
            <w:sz w:val="24"/>
            <w:szCs w:val="24"/>
            <w:lang w:eastAsia="pt-BR"/>
          </w:rPr>
          <w:t xml:space="preserve"> CJF</w:t>
        </w:r>
      </w:hyperlink>
      <w:r w:rsidR="007C663A" w:rsidRPr="009A6DDB">
        <w:rPr>
          <w:rFonts w:ascii="Times New Roman" w:eastAsia="Times New Roman" w:hAnsi="Times New Roman" w:cs="Times New Roman"/>
          <w:color w:val="000000"/>
          <w:sz w:val="24"/>
          <w:szCs w:val="24"/>
          <w:lang w:eastAsia="pt-BR"/>
        </w:rPr>
        <w:t> e </w:t>
      </w:r>
      <w:hyperlink r:id="rId68" w:tgtFrame="_blank" w:history="1">
        <w:hyperlink r:id="rId69" w:tgtFrame="_blank" w:history="1">
          <w:r w:rsidR="009A6DDB" w:rsidRPr="009A6DDB">
            <w:rPr>
              <w:rStyle w:val="Hyperlink"/>
              <w:rFonts w:ascii="Times New Roman" w:eastAsia="Times New Roman" w:hAnsi="Times New Roman" w:cs="Times New Roman"/>
              <w:sz w:val="24"/>
              <w:szCs w:val="24"/>
              <w:lang w:eastAsia="pt-BR"/>
            </w:rPr>
            <w:t>Instrução Normativa 14-08/2011 TRF1ª Região</w:t>
          </w:r>
        </w:hyperlink>
      </w:hyperlink>
      <w:r w:rsidR="007C663A" w:rsidRPr="009A6DDB">
        <w:rPr>
          <w:rFonts w:ascii="Times New Roman" w:eastAsia="Times New Roman" w:hAnsi="Times New Roman" w:cs="Times New Roman"/>
          <w:color w:val="000000"/>
          <w:sz w:val="24"/>
          <w:szCs w:val="24"/>
          <w:lang w:eastAsia="pt-BR"/>
        </w:rPr>
        <w:t>.</w:t>
      </w:r>
    </w:p>
    <w:p w14:paraId="40115BC8" w14:textId="1D56CD6A" w:rsidR="007C663A" w:rsidRPr="009B29DC" w:rsidRDefault="00AC0473" w:rsidP="001809A8">
      <w:pPr>
        <w:pStyle w:val="PargrafodaLista"/>
        <w:numPr>
          <w:ilvl w:val="0"/>
          <w:numId w:val="48"/>
        </w:numPr>
        <w:tabs>
          <w:tab w:val="clear" w:pos="1353"/>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9B29DC">
        <w:rPr>
          <w:rFonts w:ascii="Times New Roman" w:eastAsia="Times New Roman" w:hAnsi="Times New Roman" w:cs="Times New Roman"/>
          <w:color w:val="000000"/>
          <w:sz w:val="24"/>
          <w:szCs w:val="24"/>
          <w:lang w:eastAsia="pt-BR"/>
        </w:rPr>
        <w:t xml:space="preserve"> </w:t>
      </w:r>
      <w:r w:rsidR="007C663A" w:rsidRPr="009B29DC">
        <w:rPr>
          <w:rFonts w:ascii="Times New Roman" w:eastAsia="Times New Roman" w:hAnsi="Times New Roman" w:cs="Times New Roman"/>
          <w:color w:val="000000"/>
          <w:sz w:val="24"/>
          <w:szCs w:val="24"/>
          <w:lang w:eastAsia="pt-BR"/>
        </w:rPr>
        <w:t>A inexistência de sistema informatizado ou formulário padronizado com checklist para inspeções veiculares.</w:t>
      </w:r>
    </w:p>
    <w:p w14:paraId="74FAE1CB" w14:textId="2613265D" w:rsidR="007C663A" w:rsidRPr="009B29DC" w:rsidRDefault="00AC0473" w:rsidP="001809A8">
      <w:pPr>
        <w:pStyle w:val="PargrafodaLista"/>
        <w:numPr>
          <w:ilvl w:val="0"/>
          <w:numId w:val="48"/>
        </w:numPr>
        <w:tabs>
          <w:tab w:val="clear" w:pos="1353"/>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9B29DC">
        <w:rPr>
          <w:rFonts w:ascii="Times New Roman" w:eastAsia="Times New Roman" w:hAnsi="Times New Roman" w:cs="Times New Roman"/>
          <w:color w:val="000000"/>
          <w:sz w:val="24"/>
          <w:szCs w:val="24"/>
          <w:lang w:eastAsia="pt-BR"/>
        </w:rPr>
        <w:t xml:space="preserve"> </w:t>
      </w:r>
      <w:r w:rsidR="007C663A" w:rsidRPr="009B29DC">
        <w:rPr>
          <w:rFonts w:ascii="Times New Roman" w:eastAsia="Times New Roman" w:hAnsi="Times New Roman" w:cs="Times New Roman"/>
          <w:color w:val="000000"/>
          <w:sz w:val="24"/>
          <w:szCs w:val="24"/>
          <w:lang w:eastAsia="pt-BR"/>
        </w:rPr>
        <w:t>A falta de controle sobre as emissões de Gases de Efeito Estufa (GEE) e sobre a destinação ambientalmente adequada dos resíduos gerados pela frota.</w:t>
      </w:r>
    </w:p>
    <w:p w14:paraId="57B5164A" w14:textId="47B382DE" w:rsidR="007C663A" w:rsidRPr="009B29DC" w:rsidRDefault="00AC0473" w:rsidP="001809A8">
      <w:pPr>
        <w:pStyle w:val="PargrafodaLista"/>
        <w:numPr>
          <w:ilvl w:val="0"/>
          <w:numId w:val="48"/>
        </w:numPr>
        <w:tabs>
          <w:tab w:val="clear" w:pos="1353"/>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9B29DC">
        <w:rPr>
          <w:rFonts w:ascii="Times New Roman" w:eastAsia="Times New Roman" w:hAnsi="Times New Roman" w:cs="Times New Roman"/>
          <w:color w:val="000000"/>
          <w:sz w:val="24"/>
          <w:szCs w:val="24"/>
          <w:lang w:eastAsia="pt-BR"/>
        </w:rPr>
        <w:t xml:space="preserve"> </w:t>
      </w:r>
      <w:r w:rsidR="007C663A" w:rsidRPr="009B29DC">
        <w:rPr>
          <w:rFonts w:ascii="Times New Roman" w:eastAsia="Times New Roman" w:hAnsi="Times New Roman" w:cs="Times New Roman"/>
          <w:color w:val="000000"/>
          <w:sz w:val="24"/>
          <w:szCs w:val="24"/>
          <w:lang w:eastAsia="pt-BR"/>
        </w:rPr>
        <w:t>A inexistência de exigência formal às empresas contratadas quanto à comprovação documental da destinação final dos resíduos, contrariando a Política Nacional de Resíduos Sólidos.</w:t>
      </w:r>
    </w:p>
    <w:p w14:paraId="5925044D" w14:textId="4CB06A9F" w:rsidR="007C663A" w:rsidRPr="009B29DC" w:rsidRDefault="00AC0473" w:rsidP="001809A8">
      <w:pPr>
        <w:pStyle w:val="PargrafodaLista"/>
        <w:numPr>
          <w:ilvl w:val="0"/>
          <w:numId w:val="48"/>
        </w:numPr>
        <w:tabs>
          <w:tab w:val="clear" w:pos="1353"/>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9B29DC">
        <w:rPr>
          <w:rFonts w:ascii="Times New Roman" w:eastAsia="Times New Roman" w:hAnsi="Times New Roman" w:cs="Times New Roman"/>
          <w:color w:val="000000"/>
          <w:sz w:val="24"/>
          <w:szCs w:val="24"/>
          <w:lang w:eastAsia="pt-BR"/>
        </w:rPr>
        <w:t xml:space="preserve"> </w:t>
      </w:r>
      <w:r w:rsidR="007C663A" w:rsidRPr="009B29DC">
        <w:rPr>
          <w:rFonts w:ascii="Times New Roman" w:eastAsia="Times New Roman" w:hAnsi="Times New Roman" w:cs="Times New Roman"/>
          <w:color w:val="000000"/>
          <w:sz w:val="24"/>
          <w:szCs w:val="24"/>
          <w:lang w:eastAsia="pt-BR"/>
        </w:rPr>
        <w:t>A ausência de ações de capacitação e sensibilização ambiental voltadas aos servidores responsáveis pela manutenção e uso da frota.</w:t>
      </w:r>
    </w:p>
    <w:p w14:paraId="7C22DBA1" w14:textId="26F725C9" w:rsidR="007C663A" w:rsidRPr="009B29DC" w:rsidRDefault="00AC0473" w:rsidP="001809A8">
      <w:pPr>
        <w:pStyle w:val="PargrafodaLista"/>
        <w:numPr>
          <w:ilvl w:val="0"/>
          <w:numId w:val="48"/>
        </w:numPr>
        <w:tabs>
          <w:tab w:val="clear" w:pos="1353"/>
          <w:tab w:val="left" w:pos="1134"/>
        </w:tabs>
        <w:spacing w:before="240"/>
        <w:ind w:left="709" w:right="120" w:firstLine="0"/>
        <w:jc w:val="both"/>
        <w:rPr>
          <w:rFonts w:ascii="Times New Roman" w:eastAsia="Times New Roman" w:hAnsi="Times New Roman" w:cs="Times New Roman"/>
          <w:color w:val="000000"/>
          <w:sz w:val="24"/>
          <w:szCs w:val="24"/>
          <w:lang w:eastAsia="pt-BR"/>
        </w:rPr>
      </w:pPr>
      <w:r w:rsidRPr="009B29DC">
        <w:rPr>
          <w:rFonts w:ascii="Times New Roman" w:eastAsia="Times New Roman" w:hAnsi="Times New Roman" w:cs="Times New Roman"/>
          <w:color w:val="000000"/>
          <w:sz w:val="24"/>
          <w:szCs w:val="24"/>
          <w:lang w:eastAsia="pt-BR"/>
        </w:rPr>
        <w:lastRenderedPageBreak/>
        <w:t xml:space="preserve"> </w:t>
      </w:r>
      <w:r w:rsidR="007C663A" w:rsidRPr="009B29DC">
        <w:rPr>
          <w:rFonts w:ascii="Times New Roman" w:eastAsia="Times New Roman" w:hAnsi="Times New Roman" w:cs="Times New Roman"/>
          <w:color w:val="000000"/>
          <w:sz w:val="24"/>
          <w:szCs w:val="24"/>
          <w:lang w:eastAsia="pt-BR"/>
        </w:rPr>
        <w:t>A não conformidade na identificação visual dos veículos classificados fora das categorias A e B, com destaque para a categoria H (blindados), cuja regulamentação apresenta contradições.</w:t>
      </w:r>
    </w:p>
    <w:p w14:paraId="6050B1A3" w14:textId="7271698E" w:rsidR="007C663A" w:rsidRDefault="00AC0473" w:rsidP="001809A8">
      <w:pPr>
        <w:pStyle w:val="PargrafodaLista"/>
        <w:numPr>
          <w:ilvl w:val="0"/>
          <w:numId w:val="48"/>
        </w:numPr>
        <w:tabs>
          <w:tab w:val="clear" w:pos="1353"/>
          <w:tab w:val="left" w:pos="1134"/>
        </w:tabs>
        <w:spacing w:before="240"/>
        <w:ind w:left="709" w:right="120" w:firstLine="0"/>
        <w:jc w:val="both"/>
        <w:rPr>
          <w:rFonts w:ascii="Times New Roman" w:hAnsi="Times New Roman" w:cs="Times New Roman"/>
          <w:sz w:val="24"/>
          <w:szCs w:val="24"/>
        </w:rPr>
      </w:pPr>
      <w:r w:rsidRPr="009B29DC">
        <w:rPr>
          <w:rFonts w:ascii="Times New Roman" w:eastAsia="Times New Roman" w:hAnsi="Times New Roman" w:cs="Times New Roman"/>
          <w:color w:val="000000"/>
          <w:sz w:val="24"/>
          <w:szCs w:val="24"/>
          <w:lang w:eastAsia="pt-BR"/>
        </w:rPr>
        <w:t xml:space="preserve"> </w:t>
      </w:r>
      <w:r w:rsidR="007C663A" w:rsidRPr="009B29DC">
        <w:rPr>
          <w:rFonts w:ascii="Times New Roman" w:eastAsia="Times New Roman" w:hAnsi="Times New Roman" w:cs="Times New Roman"/>
          <w:color w:val="000000"/>
          <w:sz w:val="24"/>
          <w:szCs w:val="24"/>
          <w:lang w:eastAsia="pt-BR"/>
        </w:rPr>
        <w:t>A falta de integração entre os requisitos legais ambientais e os documentos técnicos da contratação, bem como a carência de capacitação dos servidores responsáveis pela elaboração de cláusulas de sustentabilidade nos instrumentos convocatórios</w:t>
      </w:r>
      <w:r w:rsidR="007C663A" w:rsidRPr="009B29DC">
        <w:rPr>
          <w:rFonts w:ascii="Times New Roman" w:hAnsi="Times New Roman" w:cs="Times New Roman"/>
          <w:sz w:val="24"/>
          <w:szCs w:val="24"/>
        </w:rPr>
        <w:t>.</w:t>
      </w:r>
    </w:p>
    <w:p w14:paraId="5ABC2F71" w14:textId="77777777" w:rsidR="00D32483" w:rsidRPr="00D32483" w:rsidRDefault="00D32483" w:rsidP="00D32483">
      <w:pPr>
        <w:tabs>
          <w:tab w:val="left" w:pos="1134"/>
        </w:tabs>
        <w:ind w:left="709" w:right="119" w:firstLine="0"/>
        <w:jc w:val="both"/>
        <w:rPr>
          <w:rFonts w:ascii="Times New Roman" w:hAnsi="Times New Roman" w:cs="Times New Roman"/>
          <w:sz w:val="24"/>
          <w:szCs w:val="24"/>
        </w:rPr>
      </w:pPr>
    </w:p>
    <w:p w14:paraId="3E017B74" w14:textId="5FAF296F" w:rsidR="001F2898" w:rsidRPr="004D781D" w:rsidRDefault="00724FEF" w:rsidP="004D781D">
      <w:pPr>
        <w:pStyle w:val="NormalWeb"/>
        <w:spacing w:before="240" w:beforeAutospacing="0" w:after="0" w:afterAutospacing="0"/>
        <w:ind w:right="108" w:firstLine="0"/>
        <w:jc w:val="both"/>
        <w:rPr>
          <w:b/>
          <w:bCs/>
        </w:rPr>
      </w:pPr>
      <w:r w:rsidRPr="004D781D">
        <w:rPr>
          <w:b/>
          <w:bCs/>
        </w:rPr>
        <w:t>e</w:t>
      </w:r>
      <w:r w:rsidR="00A61C3A" w:rsidRPr="004D781D">
        <w:rPr>
          <w:b/>
          <w:bCs/>
        </w:rPr>
        <w:t xml:space="preserve">) </w:t>
      </w:r>
      <w:r w:rsidR="008E712E" w:rsidRPr="004D781D">
        <w:rPr>
          <w:b/>
          <w:bCs/>
        </w:rPr>
        <w:t>Parâmetros dos testes substantivos (testes de detalhes) e testes de controle aplicados no ciclo das contratações</w:t>
      </w:r>
    </w:p>
    <w:p w14:paraId="3B7FDAEC" w14:textId="6CF9EFCE" w:rsidR="0061315F" w:rsidRPr="004D781D" w:rsidRDefault="00A65B90" w:rsidP="004D781D">
      <w:pPr>
        <w:pStyle w:val="NormalWeb"/>
        <w:spacing w:before="240" w:beforeAutospacing="0" w:after="0" w:afterAutospacing="0"/>
        <w:ind w:right="108"/>
        <w:jc w:val="both"/>
      </w:pPr>
      <w:r w:rsidRPr="004D781D">
        <w:t>Quanto aos registros contábeis relativos ao ciclo das contratações</w:t>
      </w:r>
      <w:r w:rsidR="005B4245" w:rsidRPr="004D781D">
        <w:t xml:space="preserve"> </w:t>
      </w:r>
      <w:r w:rsidR="009212BE" w:rsidRPr="004D781D">
        <w:t>avaliou-se</w:t>
      </w:r>
      <w:r w:rsidRPr="004D781D">
        <w:t xml:space="preserve"> a adequação dos registros, com vistas a verificar o correto reconhecimento no período contábil, a adequada classificação das despesas com combustíveis, peças e serviços de manutenção de veículos nas respectivas naturezas de despesa, bem como a correspondência entre os valores constantes dos atestos, das autorizações de pagamento e das notas fiscais</w:t>
      </w:r>
      <w:r w:rsidR="005B4245" w:rsidRPr="004D781D">
        <w:t xml:space="preserve">, relativas aos processos de pagamentos </w:t>
      </w:r>
      <w:r w:rsidR="005B4245" w:rsidRPr="005B4245">
        <w:t>0002424-91.2025.4.06.8000</w:t>
      </w:r>
      <w:r w:rsidR="005B4245" w:rsidRPr="004D781D">
        <w:t xml:space="preserve"> e </w:t>
      </w:r>
      <w:r w:rsidR="005B4245" w:rsidRPr="005B4245">
        <w:t>0002510-62.2025.4.06.8000</w:t>
      </w:r>
      <w:r w:rsidR="005B4245" w:rsidRPr="004D781D">
        <w:t>, do exercício de 2025.</w:t>
      </w:r>
    </w:p>
    <w:p w14:paraId="10B05108" w14:textId="77777777" w:rsidR="00D32483" w:rsidRPr="001449A9" w:rsidRDefault="00D32483" w:rsidP="006539AC">
      <w:pPr>
        <w:pStyle w:val="NormalWeb"/>
        <w:spacing w:before="0" w:beforeAutospacing="0" w:after="0" w:afterAutospacing="0"/>
        <w:ind w:right="108"/>
        <w:jc w:val="both"/>
      </w:pPr>
    </w:p>
    <w:p w14:paraId="0BAD4646" w14:textId="77777777" w:rsidR="005B4101" w:rsidRDefault="00724FEF" w:rsidP="005B4101">
      <w:pPr>
        <w:pStyle w:val="NormalWeb"/>
        <w:spacing w:before="240" w:beforeAutospacing="0" w:after="0" w:afterAutospacing="0"/>
        <w:ind w:right="108" w:firstLine="0"/>
        <w:jc w:val="both"/>
        <w:rPr>
          <w:b/>
          <w:bCs/>
        </w:rPr>
      </w:pPr>
      <w:r w:rsidRPr="006539AC">
        <w:rPr>
          <w:b/>
          <w:bCs/>
        </w:rPr>
        <w:t>f</w:t>
      </w:r>
      <w:r w:rsidR="00183BF5" w:rsidRPr="006539AC">
        <w:rPr>
          <w:b/>
          <w:bCs/>
        </w:rPr>
        <w:t>) Transações subjacentes relacionadas ao ciclo das contratações</w:t>
      </w:r>
    </w:p>
    <w:p w14:paraId="7C36FA72" w14:textId="77777777" w:rsidR="005B4101" w:rsidRDefault="005B4101" w:rsidP="005B4101">
      <w:pPr>
        <w:pStyle w:val="NormalWeb"/>
        <w:spacing w:before="240" w:beforeAutospacing="0" w:after="0" w:afterAutospacing="0"/>
        <w:ind w:right="108" w:firstLine="708"/>
        <w:jc w:val="both"/>
      </w:pPr>
      <w:r w:rsidRPr="0013244A">
        <w:t>Quanto às transações subjacentes relacionadas ao ciclo das contratações, foram realizados os trabalhos listados neste tópico.</w:t>
      </w:r>
      <w:bookmarkStart w:id="40" w:name="_Hlk224646967"/>
    </w:p>
    <w:p w14:paraId="70F6E41C" w14:textId="2C776A55" w:rsidR="005B4101" w:rsidRPr="005B4101" w:rsidRDefault="005B4101" w:rsidP="005B4101">
      <w:pPr>
        <w:pStyle w:val="NormalWeb"/>
        <w:spacing w:before="240" w:beforeAutospacing="0" w:after="0" w:afterAutospacing="0"/>
        <w:ind w:right="108" w:firstLine="708"/>
        <w:jc w:val="both"/>
        <w:rPr>
          <w:b/>
          <w:bCs/>
        </w:rPr>
      </w:pPr>
      <w:r w:rsidRPr="0013244A">
        <w:t xml:space="preserve">As unidades auditadas foram cientificadas dos resultados das análises por meio de Relatórios Preliminares de Auditoria, aos quais apresentaram suas manifestações. Posteriormente, foram elaborados os Relatórios Finais, observando-se os ditames das Resoluções </w:t>
      </w:r>
      <w:hyperlink r:id="rId70" w:history="1">
        <w:r w:rsidRPr="0013244A">
          <w:rPr>
            <w:rStyle w:val="Hyperlink"/>
          </w:rPr>
          <w:t>308/20</w:t>
        </w:r>
      </w:hyperlink>
      <w:r w:rsidRPr="0013244A">
        <w:t xml:space="preserve"> e </w:t>
      </w:r>
      <w:hyperlink r:id="rId71" w:history="1">
        <w:r w:rsidRPr="0013244A">
          <w:rPr>
            <w:rStyle w:val="Hyperlink"/>
          </w:rPr>
          <w:t>309/20</w:t>
        </w:r>
      </w:hyperlink>
      <w:r w:rsidRPr="0013244A">
        <w:t xml:space="preserve"> do CNJ, </w:t>
      </w:r>
      <w:hyperlink r:id="rId72" w:history="1">
        <w:r w:rsidRPr="0013244A">
          <w:rPr>
            <w:rStyle w:val="Hyperlink"/>
          </w:rPr>
          <w:t>676/20</w:t>
        </w:r>
      </w:hyperlink>
      <w:r w:rsidRPr="0013244A">
        <w:t xml:space="preserve"> e </w:t>
      </w:r>
      <w:hyperlink r:id="rId73" w:history="1">
        <w:r w:rsidRPr="0013244A">
          <w:rPr>
            <w:rStyle w:val="Hyperlink"/>
          </w:rPr>
          <w:t>677/20</w:t>
        </w:r>
      </w:hyperlink>
      <w:r w:rsidRPr="0013244A">
        <w:t xml:space="preserve"> do CJF, </w:t>
      </w:r>
      <w:hyperlink r:id="rId74" w:history="1">
        <w:r w:rsidRPr="0013244A">
          <w:rPr>
            <w:rStyle w:val="Hyperlink"/>
          </w:rPr>
          <w:t>Manual de Auditoria  do CNJ</w:t>
        </w:r>
      </w:hyperlink>
      <w:r w:rsidRPr="0013244A">
        <w:t xml:space="preserve"> e demais disposições aplicáveis na realização de auditoria interna no setor público.</w:t>
      </w:r>
      <w:bookmarkEnd w:id="40"/>
    </w:p>
    <w:p w14:paraId="083663E7" w14:textId="77777777" w:rsidR="006A6A85" w:rsidRDefault="006A6A85" w:rsidP="006A6A85">
      <w:pPr>
        <w:spacing w:line="276" w:lineRule="auto"/>
        <w:ind w:firstLine="0"/>
        <w:jc w:val="both"/>
        <w:rPr>
          <w:rFonts w:ascii="Times New Roman" w:hAnsi="Times New Roman" w:cs="Times New Roman"/>
          <w:b/>
          <w:bCs/>
        </w:rPr>
      </w:pPr>
    </w:p>
    <w:p w14:paraId="66B74ED8" w14:textId="77777777" w:rsidR="006A6A85" w:rsidRPr="006A6A85" w:rsidRDefault="006A6A85" w:rsidP="00456AAD">
      <w:pPr>
        <w:pStyle w:val="NormalWeb"/>
        <w:spacing w:before="240" w:beforeAutospacing="0" w:after="0" w:afterAutospacing="0"/>
        <w:ind w:right="108" w:firstLine="0"/>
        <w:jc w:val="both"/>
        <w:rPr>
          <w:b/>
          <w:bCs/>
        </w:rPr>
      </w:pPr>
      <w:r w:rsidRPr="006A6A85">
        <w:rPr>
          <w:b/>
          <w:bCs/>
        </w:rPr>
        <w:t>f</w:t>
      </w:r>
      <w:r w:rsidR="005B4101" w:rsidRPr="006A6A85">
        <w:rPr>
          <w:b/>
          <w:bCs/>
        </w:rPr>
        <w:t>.1 – Auditoria de Conformidade da Gestão Contínua dos Riscos que Permeiam a Fase da Contratação dos Serviços Terceirizados com Dedicação Exclusiva de Mão de Obra</w:t>
      </w:r>
    </w:p>
    <w:p w14:paraId="55B4CD39" w14:textId="77777777" w:rsidR="00456AAD" w:rsidRDefault="005B4101" w:rsidP="00456AAD">
      <w:pPr>
        <w:pStyle w:val="NormalWeb"/>
        <w:spacing w:before="240" w:beforeAutospacing="0" w:after="0" w:afterAutospacing="0"/>
        <w:ind w:right="108" w:firstLine="708"/>
        <w:jc w:val="both"/>
      </w:pPr>
      <w:r w:rsidRPr="00456AAD">
        <w:t>A auditoria avaliou a conformidade da gestão contínua dos riscos que permeiam a fase de contratação de serviços terceirizados com dedicação exclusiva de mão de obra.</w:t>
      </w:r>
    </w:p>
    <w:p w14:paraId="47ED4CA8" w14:textId="77777777" w:rsidR="00456AAD" w:rsidRDefault="005B4101" w:rsidP="00456AAD">
      <w:pPr>
        <w:pStyle w:val="NormalWeb"/>
        <w:spacing w:before="240" w:beforeAutospacing="0" w:after="0" w:afterAutospacing="0"/>
        <w:ind w:right="108" w:firstLine="708"/>
        <w:jc w:val="both"/>
      </w:pPr>
      <w:r w:rsidRPr="00456AAD">
        <w:t>Para a definição da</w:t>
      </w:r>
      <w:r w:rsidRPr="006A6A85">
        <w:t xml:space="preserve"> amostra, foi consultada a “Planilha de Controle dos Contratos”, referente ao mês de fevereiro de 2025, disponibilizada pela Subsecretaria de Licitações e Contratos – SULIC na intranet do TRF6. A amostra foi selecionada pelo método não estatístico, considerando os critérios de relevância, risco e materialidade.</w:t>
      </w:r>
    </w:p>
    <w:p w14:paraId="545EC2D5" w14:textId="58942F74" w:rsidR="005B4101" w:rsidRDefault="005B4101" w:rsidP="00456AAD">
      <w:pPr>
        <w:pStyle w:val="NormalWeb"/>
        <w:spacing w:before="240" w:beforeAutospacing="0" w:after="0" w:afterAutospacing="0"/>
        <w:ind w:right="108" w:firstLine="708"/>
        <w:jc w:val="both"/>
      </w:pPr>
      <w:r w:rsidRPr="006A6A85">
        <w:t>O quadro a seguir apresenta a amostra selecionada para análise.</w:t>
      </w:r>
    </w:p>
    <w:p w14:paraId="133F960D" w14:textId="77777777" w:rsidR="006A6A85" w:rsidRPr="006A6A85" w:rsidRDefault="006A6A85" w:rsidP="005B4101">
      <w:pPr>
        <w:spacing w:line="276" w:lineRule="auto"/>
        <w:ind w:firstLine="1134"/>
        <w:jc w:val="both"/>
        <w:rPr>
          <w:rFonts w:ascii="Times New Roman" w:hAnsi="Times New Roman" w:cs="Times New Roman"/>
          <w:sz w:val="24"/>
          <w:szCs w:val="24"/>
        </w:rPr>
      </w:pPr>
    </w:p>
    <w:p w14:paraId="52655180" w14:textId="4CF657E8" w:rsidR="005B4101" w:rsidRDefault="005B4101" w:rsidP="006A6A85">
      <w:pPr>
        <w:spacing w:line="276" w:lineRule="auto"/>
        <w:ind w:firstLine="0"/>
        <w:jc w:val="center"/>
        <w:rPr>
          <w:rFonts w:ascii="Times New Roman" w:hAnsi="Times New Roman" w:cs="Times New Roman"/>
          <w:b/>
          <w:bCs/>
          <w:sz w:val="20"/>
          <w:szCs w:val="20"/>
        </w:rPr>
      </w:pPr>
      <w:r w:rsidRPr="00F6042E">
        <w:rPr>
          <w:rFonts w:ascii="Times New Roman" w:hAnsi="Times New Roman" w:cs="Times New Roman"/>
          <w:b/>
          <w:bCs/>
          <w:sz w:val="20"/>
          <w:szCs w:val="20"/>
        </w:rPr>
        <w:t xml:space="preserve">Quadro </w:t>
      </w:r>
      <w:r w:rsidR="00102AC8">
        <w:rPr>
          <w:rFonts w:ascii="Times New Roman" w:hAnsi="Times New Roman" w:cs="Times New Roman"/>
          <w:b/>
          <w:bCs/>
          <w:sz w:val="20"/>
          <w:szCs w:val="20"/>
        </w:rPr>
        <w:t>8</w:t>
      </w:r>
      <w:r w:rsidR="006A6A85" w:rsidRPr="00F6042E">
        <w:rPr>
          <w:rFonts w:ascii="Times New Roman" w:hAnsi="Times New Roman" w:cs="Times New Roman"/>
          <w:b/>
          <w:bCs/>
          <w:sz w:val="20"/>
          <w:szCs w:val="20"/>
        </w:rPr>
        <w:t xml:space="preserve"> -</w:t>
      </w:r>
      <w:r w:rsidR="006A6A85">
        <w:rPr>
          <w:rFonts w:ascii="Times New Roman" w:hAnsi="Times New Roman" w:cs="Times New Roman"/>
          <w:b/>
          <w:bCs/>
          <w:sz w:val="20"/>
          <w:szCs w:val="20"/>
        </w:rPr>
        <w:t xml:space="preserve"> </w:t>
      </w:r>
      <w:r w:rsidRPr="006A6A85">
        <w:rPr>
          <w:rFonts w:ascii="Times New Roman" w:hAnsi="Times New Roman" w:cs="Times New Roman"/>
          <w:b/>
          <w:bCs/>
          <w:sz w:val="20"/>
          <w:szCs w:val="20"/>
        </w:rPr>
        <w:t>Processos selecionados - Serviços terceirizados com dedicação exclusiva de mão de obra</w:t>
      </w:r>
    </w:p>
    <w:tbl>
      <w:tblPr>
        <w:tblStyle w:val="Tabelacomgrade"/>
        <w:tblW w:w="9918" w:type="dxa"/>
        <w:jc w:val="center"/>
        <w:tblLayout w:type="fixed"/>
        <w:tblLook w:val="04A0" w:firstRow="1" w:lastRow="0" w:firstColumn="1" w:lastColumn="0" w:noHBand="0" w:noVBand="1"/>
      </w:tblPr>
      <w:tblGrid>
        <w:gridCol w:w="500"/>
        <w:gridCol w:w="2047"/>
        <w:gridCol w:w="2693"/>
        <w:gridCol w:w="1276"/>
        <w:gridCol w:w="1134"/>
        <w:gridCol w:w="1134"/>
        <w:gridCol w:w="1134"/>
      </w:tblGrid>
      <w:tr w:rsidR="00631407" w:rsidRPr="00E95228" w14:paraId="480BD26C" w14:textId="30AEFF59" w:rsidTr="008C526B">
        <w:trPr>
          <w:jc w:val="center"/>
        </w:trPr>
        <w:tc>
          <w:tcPr>
            <w:tcW w:w="500" w:type="dxa"/>
            <w:shd w:val="clear" w:color="auto" w:fill="D9D9D9" w:themeFill="background1" w:themeFillShade="D9"/>
            <w:vAlign w:val="center"/>
          </w:tcPr>
          <w:p w14:paraId="2D7CCE3A" w14:textId="77777777" w:rsidR="00E16398" w:rsidRPr="00E95228" w:rsidRDefault="00E16398" w:rsidP="007D5710">
            <w:pPr>
              <w:spacing w:line="276" w:lineRule="auto"/>
              <w:ind w:firstLine="0"/>
              <w:jc w:val="center"/>
              <w:rPr>
                <w:rFonts w:ascii="Times New Roman" w:eastAsia="Times New Roman" w:hAnsi="Times New Roman" w:cs="Times New Roman"/>
                <w:b/>
                <w:bCs/>
                <w:sz w:val="20"/>
                <w:szCs w:val="20"/>
                <w:lang w:eastAsia="pt-BR"/>
              </w:rPr>
            </w:pPr>
            <w:r w:rsidRPr="00E95228">
              <w:rPr>
                <w:rFonts w:ascii="Times New Roman" w:eastAsia="Times New Roman" w:hAnsi="Times New Roman" w:cs="Times New Roman"/>
                <w:b/>
                <w:bCs/>
                <w:sz w:val="20"/>
                <w:szCs w:val="20"/>
                <w:lang w:eastAsia="pt-BR"/>
              </w:rPr>
              <w:t>Nº.</w:t>
            </w:r>
          </w:p>
        </w:tc>
        <w:tc>
          <w:tcPr>
            <w:tcW w:w="2047" w:type="dxa"/>
            <w:shd w:val="clear" w:color="auto" w:fill="D9D9D9" w:themeFill="background1" w:themeFillShade="D9"/>
            <w:vAlign w:val="center"/>
          </w:tcPr>
          <w:p w14:paraId="2800451D" w14:textId="77777777" w:rsidR="00E16398" w:rsidRPr="00E95228" w:rsidRDefault="00E16398" w:rsidP="007D5710">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Processo SEI</w:t>
            </w:r>
          </w:p>
        </w:tc>
        <w:tc>
          <w:tcPr>
            <w:tcW w:w="2693" w:type="dxa"/>
            <w:shd w:val="clear" w:color="auto" w:fill="D9D9D9" w:themeFill="background1" w:themeFillShade="D9"/>
            <w:vAlign w:val="center"/>
          </w:tcPr>
          <w:p w14:paraId="2D682C4C" w14:textId="77777777" w:rsidR="00E16398" w:rsidRPr="00E95228" w:rsidRDefault="00E16398" w:rsidP="007D5710">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Objeto</w:t>
            </w:r>
          </w:p>
        </w:tc>
        <w:tc>
          <w:tcPr>
            <w:tcW w:w="1276" w:type="dxa"/>
            <w:shd w:val="clear" w:color="auto" w:fill="D9D9D9" w:themeFill="background1" w:themeFillShade="D9"/>
            <w:vAlign w:val="center"/>
          </w:tcPr>
          <w:p w14:paraId="10783362" w14:textId="77777777" w:rsidR="00E16398" w:rsidRPr="00E95228" w:rsidRDefault="00E16398" w:rsidP="007D5710">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 xml:space="preserve">Valor </w:t>
            </w:r>
          </w:p>
        </w:tc>
        <w:tc>
          <w:tcPr>
            <w:tcW w:w="1134" w:type="dxa"/>
            <w:shd w:val="clear" w:color="auto" w:fill="D9D9D9" w:themeFill="background1" w:themeFillShade="D9"/>
            <w:vAlign w:val="center"/>
          </w:tcPr>
          <w:p w14:paraId="6E57ECEC" w14:textId="77777777" w:rsidR="00E16398" w:rsidRPr="00E95228" w:rsidRDefault="00E16398" w:rsidP="00E16398">
            <w:pPr>
              <w:spacing w:line="276" w:lineRule="auto"/>
              <w:ind w:firstLine="0"/>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Mod. Licitatória</w:t>
            </w:r>
          </w:p>
        </w:tc>
        <w:tc>
          <w:tcPr>
            <w:tcW w:w="1134" w:type="dxa"/>
            <w:shd w:val="clear" w:color="auto" w:fill="D9D9D9" w:themeFill="background1" w:themeFillShade="D9"/>
            <w:vAlign w:val="center"/>
          </w:tcPr>
          <w:p w14:paraId="3E290E06" w14:textId="77777777" w:rsidR="00E16398" w:rsidRPr="00E95228" w:rsidRDefault="00E16398" w:rsidP="00E16398">
            <w:pPr>
              <w:spacing w:line="276" w:lineRule="auto"/>
              <w:ind w:firstLine="0"/>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Contrato</w:t>
            </w:r>
          </w:p>
        </w:tc>
        <w:tc>
          <w:tcPr>
            <w:tcW w:w="1134" w:type="dxa"/>
            <w:shd w:val="clear" w:color="auto" w:fill="D9D9D9" w:themeFill="background1" w:themeFillShade="D9"/>
          </w:tcPr>
          <w:p w14:paraId="4486B832" w14:textId="2BE19B0A" w:rsidR="00E16398" w:rsidRDefault="00E16398" w:rsidP="007D5710">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Unidade resp.</w:t>
            </w:r>
          </w:p>
        </w:tc>
      </w:tr>
      <w:tr w:rsidR="00631407" w:rsidRPr="00E95228" w14:paraId="4A9C6D6D" w14:textId="7F553F36" w:rsidTr="008C526B">
        <w:trPr>
          <w:jc w:val="center"/>
        </w:trPr>
        <w:tc>
          <w:tcPr>
            <w:tcW w:w="500" w:type="dxa"/>
            <w:vAlign w:val="center"/>
          </w:tcPr>
          <w:p w14:paraId="089455B3" w14:textId="1D46B206"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tc>
        <w:tc>
          <w:tcPr>
            <w:tcW w:w="2047" w:type="dxa"/>
            <w:vAlign w:val="center"/>
          </w:tcPr>
          <w:p w14:paraId="3DA86D0C" w14:textId="0156F0D4"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0004108-19.2023.4.06.8001</w:t>
            </w:r>
          </w:p>
        </w:tc>
        <w:tc>
          <w:tcPr>
            <w:tcW w:w="2693" w:type="dxa"/>
          </w:tcPr>
          <w:p w14:paraId="016C47F8" w14:textId="650FE1FD" w:rsidR="00E16398" w:rsidRPr="00E16398" w:rsidRDefault="00E16398" w:rsidP="00E16398">
            <w:pPr>
              <w:spacing w:line="276" w:lineRule="auto"/>
              <w:ind w:firstLine="0"/>
              <w:jc w:val="both"/>
              <w:rPr>
                <w:rFonts w:ascii="Times New Roman" w:eastAsia="Times New Roman" w:hAnsi="Times New Roman" w:cs="Times New Roman"/>
                <w:sz w:val="18"/>
                <w:szCs w:val="18"/>
                <w:lang w:eastAsia="pt-BR"/>
              </w:rPr>
            </w:pPr>
            <w:r w:rsidRPr="00E16398">
              <w:rPr>
                <w:rFonts w:ascii="Times New Roman" w:hAnsi="Times New Roman" w:cs="Times New Roman"/>
                <w:sz w:val="18"/>
                <w:szCs w:val="18"/>
              </w:rPr>
              <w:t>serv. de apoio administrativo, conservação, limpeza, recepção, garçom</w:t>
            </w:r>
          </w:p>
        </w:tc>
        <w:tc>
          <w:tcPr>
            <w:tcW w:w="1276" w:type="dxa"/>
            <w:vAlign w:val="center"/>
          </w:tcPr>
          <w:p w14:paraId="3211AA12" w14:textId="77CF22E5" w:rsidR="00E16398" w:rsidRPr="00E95228" w:rsidRDefault="00E16398" w:rsidP="007D5710">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118.888,56</w:t>
            </w:r>
          </w:p>
        </w:tc>
        <w:tc>
          <w:tcPr>
            <w:tcW w:w="1134" w:type="dxa"/>
            <w:vAlign w:val="center"/>
          </w:tcPr>
          <w:p w14:paraId="6AB63820" w14:textId="14C6292A"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w:t>
            </w:r>
          </w:p>
        </w:tc>
        <w:tc>
          <w:tcPr>
            <w:tcW w:w="1134" w:type="dxa"/>
            <w:vAlign w:val="center"/>
          </w:tcPr>
          <w:p w14:paraId="283D16B2" w14:textId="3744926B"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005/2024</w:t>
            </w:r>
          </w:p>
        </w:tc>
        <w:tc>
          <w:tcPr>
            <w:tcW w:w="1134" w:type="dxa"/>
            <w:vAlign w:val="center"/>
          </w:tcPr>
          <w:p w14:paraId="0466EDC9" w14:textId="2B9558CF" w:rsidR="00E16398" w:rsidRPr="00E95228" w:rsidRDefault="00E16398" w:rsidP="00E16398">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Juiz de Fora</w:t>
            </w:r>
          </w:p>
        </w:tc>
      </w:tr>
      <w:tr w:rsidR="008C526B" w:rsidRPr="00E95228" w14:paraId="34B84BF4" w14:textId="77777777" w:rsidTr="008C526B">
        <w:trPr>
          <w:jc w:val="center"/>
        </w:trPr>
        <w:tc>
          <w:tcPr>
            <w:tcW w:w="500" w:type="dxa"/>
            <w:vAlign w:val="center"/>
          </w:tcPr>
          <w:p w14:paraId="24526998" w14:textId="3C28569D"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tc>
        <w:tc>
          <w:tcPr>
            <w:tcW w:w="2047" w:type="dxa"/>
            <w:vAlign w:val="center"/>
          </w:tcPr>
          <w:p w14:paraId="08A9A551" w14:textId="62754554"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0013481-40.2024.4.06.8001</w:t>
            </w:r>
          </w:p>
        </w:tc>
        <w:tc>
          <w:tcPr>
            <w:tcW w:w="2693" w:type="dxa"/>
          </w:tcPr>
          <w:p w14:paraId="6F37D7A2" w14:textId="6A130B97" w:rsidR="00E16398" w:rsidRPr="00E95228" w:rsidRDefault="00E16398" w:rsidP="007D5710">
            <w:pPr>
              <w:spacing w:line="276" w:lineRule="auto"/>
              <w:ind w:firstLine="0"/>
              <w:jc w:val="both"/>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serv. Conservação, limpeza, copeiragem, zeladoria, jardinagem, apoio administrativo e limpeza de veículos</w:t>
            </w:r>
          </w:p>
        </w:tc>
        <w:tc>
          <w:tcPr>
            <w:tcW w:w="1276" w:type="dxa"/>
            <w:vAlign w:val="center"/>
          </w:tcPr>
          <w:p w14:paraId="4C585F6E" w14:textId="12D6AEDE" w:rsidR="00E16398" w:rsidRPr="00E95228" w:rsidRDefault="00E16398" w:rsidP="007D5710">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90.140,10</w:t>
            </w:r>
          </w:p>
        </w:tc>
        <w:tc>
          <w:tcPr>
            <w:tcW w:w="1134" w:type="dxa"/>
            <w:vAlign w:val="center"/>
          </w:tcPr>
          <w:p w14:paraId="7551E948" w14:textId="546D892A"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w:t>
            </w:r>
          </w:p>
        </w:tc>
        <w:tc>
          <w:tcPr>
            <w:tcW w:w="1134" w:type="dxa"/>
            <w:vAlign w:val="center"/>
          </w:tcPr>
          <w:p w14:paraId="626F65B1" w14:textId="59588E0E"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014/25</w:t>
            </w:r>
          </w:p>
        </w:tc>
        <w:tc>
          <w:tcPr>
            <w:tcW w:w="1134" w:type="dxa"/>
            <w:vAlign w:val="center"/>
          </w:tcPr>
          <w:p w14:paraId="669D1EED" w14:textId="2531B3AD" w:rsidR="00E16398" w:rsidRPr="00E95228" w:rsidRDefault="00E16398" w:rsidP="00E16398">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Uberaba</w:t>
            </w:r>
          </w:p>
        </w:tc>
      </w:tr>
      <w:tr w:rsidR="008C526B" w:rsidRPr="00E95228" w14:paraId="00F1CAC4" w14:textId="77777777" w:rsidTr="008C526B">
        <w:trPr>
          <w:jc w:val="center"/>
        </w:trPr>
        <w:tc>
          <w:tcPr>
            <w:tcW w:w="500" w:type="dxa"/>
            <w:vAlign w:val="center"/>
          </w:tcPr>
          <w:p w14:paraId="7EE0FA01" w14:textId="728F94FB"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lastRenderedPageBreak/>
              <w:t>3</w:t>
            </w:r>
          </w:p>
        </w:tc>
        <w:tc>
          <w:tcPr>
            <w:tcW w:w="2047" w:type="dxa"/>
            <w:vAlign w:val="center"/>
          </w:tcPr>
          <w:p w14:paraId="17E3EDA1" w14:textId="1C4914B1"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0010587-91.2024.4.06.8001</w:t>
            </w:r>
          </w:p>
        </w:tc>
        <w:tc>
          <w:tcPr>
            <w:tcW w:w="2693" w:type="dxa"/>
          </w:tcPr>
          <w:p w14:paraId="1E1FF74E" w14:textId="3286FC57" w:rsidR="00E16398" w:rsidRPr="00E95228" w:rsidRDefault="00E16398" w:rsidP="007D5710">
            <w:pPr>
              <w:spacing w:line="276" w:lineRule="auto"/>
              <w:ind w:firstLine="0"/>
              <w:jc w:val="both"/>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serviços de conservação, limpeza, copeiragem, zeladoria e auxiliar administrativo</w:t>
            </w:r>
          </w:p>
        </w:tc>
        <w:tc>
          <w:tcPr>
            <w:tcW w:w="1276" w:type="dxa"/>
            <w:vAlign w:val="center"/>
          </w:tcPr>
          <w:p w14:paraId="4B5F3F8E" w14:textId="303D3DCF" w:rsidR="00E16398" w:rsidRPr="00E95228" w:rsidRDefault="00E16398" w:rsidP="007D5710">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31.573,04</w:t>
            </w:r>
          </w:p>
        </w:tc>
        <w:tc>
          <w:tcPr>
            <w:tcW w:w="1134" w:type="dxa"/>
            <w:vAlign w:val="center"/>
          </w:tcPr>
          <w:p w14:paraId="20160AB9" w14:textId="301E3271"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w:t>
            </w:r>
          </w:p>
        </w:tc>
        <w:tc>
          <w:tcPr>
            <w:tcW w:w="1134" w:type="dxa"/>
            <w:vAlign w:val="center"/>
          </w:tcPr>
          <w:p w14:paraId="08A61069" w14:textId="6044262B"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011/25</w:t>
            </w:r>
          </w:p>
        </w:tc>
        <w:tc>
          <w:tcPr>
            <w:tcW w:w="1134" w:type="dxa"/>
            <w:vAlign w:val="center"/>
          </w:tcPr>
          <w:p w14:paraId="65D03E45" w14:textId="75E2A61C" w:rsidR="00E16398" w:rsidRPr="00E95228" w:rsidRDefault="00E16398" w:rsidP="00E16398">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Sete Lagoas</w:t>
            </w:r>
          </w:p>
        </w:tc>
      </w:tr>
      <w:tr w:rsidR="008C526B" w:rsidRPr="00E95228" w14:paraId="025D4787" w14:textId="77777777" w:rsidTr="008C526B">
        <w:trPr>
          <w:jc w:val="center"/>
        </w:trPr>
        <w:tc>
          <w:tcPr>
            <w:tcW w:w="500" w:type="dxa"/>
            <w:vAlign w:val="center"/>
          </w:tcPr>
          <w:p w14:paraId="0E813511" w14:textId="09535A1F"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2047" w:type="dxa"/>
            <w:vAlign w:val="center"/>
          </w:tcPr>
          <w:p w14:paraId="0DDD8048" w14:textId="61A8BA15"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0004316-40.2022.4.06.8000</w:t>
            </w:r>
          </w:p>
        </w:tc>
        <w:tc>
          <w:tcPr>
            <w:tcW w:w="2693" w:type="dxa"/>
          </w:tcPr>
          <w:p w14:paraId="058EF8FE" w14:textId="55CFACAC" w:rsidR="00E16398" w:rsidRPr="00E95228" w:rsidRDefault="00E16398" w:rsidP="007D5710">
            <w:pPr>
              <w:spacing w:line="276" w:lineRule="auto"/>
              <w:ind w:firstLine="0"/>
              <w:jc w:val="both"/>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serviços de apoio administrativo, recepção e serviços técnicos</w:t>
            </w:r>
          </w:p>
        </w:tc>
        <w:tc>
          <w:tcPr>
            <w:tcW w:w="1276" w:type="dxa"/>
            <w:vAlign w:val="center"/>
          </w:tcPr>
          <w:p w14:paraId="58F2C98A" w14:textId="650989E5" w:rsidR="00E16398" w:rsidRPr="00E95228" w:rsidRDefault="00E16398" w:rsidP="007D5710">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1.185.915,81</w:t>
            </w:r>
          </w:p>
        </w:tc>
        <w:tc>
          <w:tcPr>
            <w:tcW w:w="1134" w:type="dxa"/>
            <w:vAlign w:val="center"/>
          </w:tcPr>
          <w:p w14:paraId="752AA5D8" w14:textId="54087F26"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w:t>
            </w:r>
          </w:p>
        </w:tc>
        <w:tc>
          <w:tcPr>
            <w:tcW w:w="1134" w:type="dxa"/>
            <w:vAlign w:val="center"/>
          </w:tcPr>
          <w:p w14:paraId="00295332" w14:textId="78602C54" w:rsidR="00E16398" w:rsidRPr="00E95228" w:rsidRDefault="008C526B"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041/23</w:t>
            </w:r>
          </w:p>
        </w:tc>
        <w:tc>
          <w:tcPr>
            <w:tcW w:w="1134" w:type="dxa"/>
            <w:vAlign w:val="center"/>
          </w:tcPr>
          <w:p w14:paraId="0798CA26" w14:textId="77777777" w:rsidR="00CB4CE7" w:rsidRDefault="008C526B" w:rsidP="008C526B">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TRF6/</w:t>
            </w:r>
          </w:p>
          <w:p w14:paraId="4C69653A" w14:textId="04713F5F" w:rsidR="00E16398" w:rsidRPr="00E95228" w:rsidRDefault="008C526B" w:rsidP="008C526B">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SJMG</w:t>
            </w:r>
          </w:p>
        </w:tc>
      </w:tr>
      <w:tr w:rsidR="008C526B" w:rsidRPr="00E95228" w14:paraId="01DD4E3E" w14:textId="77777777" w:rsidTr="008C526B">
        <w:trPr>
          <w:jc w:val="center"/>
        </w:trPr>
        <w:tc>
          <w:tcPr>
            <w:tcW w:w="500" w:type="dxa"/>
            <w:vAlign w:val="center"/>
          </w:tcPr>
          <w:p w14:paraId="226FE106" w14:textId="5DB51154"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2047" w:type="dxa"/>
            <w:vAlign w:val="center"/>
          </w:tcPr>
          <w:p w14:paraId="3918565B" w14:textId="5654E617" w:rsidR="00E16398" w:rsidRPr="00E95228" w:rsidRDefault="008C526B" w:rsidP="007D571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0009105-11.2024.4.06.8001</w:t>
            </w:r>
          </w:p>
        </w:tc>
        <w:tc>
          <w:tcPr>
            <w:tcW w:w="2693" w:type="dxa"/>
          </w:tcPr>
          <w:p w14:paraId="75B5BD38" w14:textId="6A868431" w:rsidR="00E16398" w:rsidRPr="00E95228" w:rsidRDefault="008C526B" w:rsidP="007D5710">
            <w:pPr>
              <w:spacing w:line="276" w:lineRule="auto"/>
              <w:ind w:firstLine="0"/>
              <w:jc w:val="both"/>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serviços de manutenção, conservação, limpeza, copeiragem, zeladoria c/lavador de carro e apoio administrativo</w:t>
            </w:r>
          </w:p>
        </w:tc>
        <w:tc>
          <w:tcPr>
            <w:tcW w:w="1276" w:type="dxa"/>
            <w:vAlign w:val="center"/>
          </w:tcPr>
          <w:p w14:paraId="5828F737" w14:textId="403C8865" w:rsidR="00E16398" w:rsidRPr="00E95228" w:rsidRDefault="008C526B" w:rsidP="007D5710">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38.262,22</w:t>
            </w:r>
          </w:p>
        </w:tc>
        <w:tc>
          <w:tcPr>
            <w:tcW w:w="1134" w:type="dxa"/>
            <w:vAlign w:val="center"/>
          </w:tcPr>
          <w:p w14:paraId="36A0EC25" w14:textId="72B0800C"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w:t>
            </w:r>
          </w:p>
        </w:tc>
        <w:tc>
          <w:tcPr>
            <w:tcW w:w="1134" w:type="dxa"/>
            <w:vAlign w:val="center"/>
          </w:tcPr>
          <w:p w14:paraId="5690283F" w14:textId="71C44134" w:rsidR="00E16398" w:rsidRPr="00E95228" w:rsidRDefault="008C526B"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025/25</w:t>
            </w:r>
          </w:p>
        </w:tc>
        <w:tc>
          <w:tcPr>
            <w:tcW w:w="1134" w:type="dxa"/>
            <w:vAlign w:val="center"/>
          </w:tcPr>
          <w:p w14:paraId="7364ECCC" w14:textId="268A1A7A" w:rsidR="00E16398" w:rsidRPr="00E95228" w:rsidRDefault="008C526B" w:rsidP="008C526B">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Gov</w:t>
            </w:r>
            <w:r>
              <w:rPr>
                <w:rFonts w:ascii="Times New Roman" w:hAnsi="Times New Roman" w:cs="Times New Roman"/>
                <w:sz w:val="20"/>
                <w:szCs w:val="20"/>
              </w:rPr>
              <w:t xml:space="preserve">. </w:t>
            </w:r>
            <w:r w:rsidRPr="0013244A">
              <w:rPr>
                <w:rFonts w:ascii="Times New Roman" w:hAnsi="Times New Roman" w:cs="Times New Roman"/>
                <w:sz w:val="20"/>
                <w:szCs w:val="20"/>
              </w:rPr>
              <w:t>Valadares</w:t>
            </w:r>
          </w:p>
        </w:tc>
      </w:tr>
      <w:tr w:rsidR="008C526B" w:rsidRPr="00E95228" w14:paraId="3F9DFD93" w14:textId="77777777" w:rsidTr="00543BC2">
        <w:trPr>
          <w:jc w:val="center"/>
        </w:trPr>
        <w:tc>
          <w:tcPr>
            <w:tcW w:w="500" w:type="dxa"/>
            <w:vAlign w:val="center"/>
          </w:tcPr>
          <w:p w14:paraId="5F9A94A2" w14:textId="0666BAF5" w:rsidR="00E16398" w:rsidRPr="00E95228" w:rsidRDefault="00E16398" w:rsidP="007D5710">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6</w:t>
            </w:r>
          </w:p>
        </w:tc>
        <w:tc>
          <w:tcPr>
            <w:tcW w:w="2047" w:type="dxa"/>
            <w:vAlign w:val="center"/>
          </w:tcPr>
          <w:p w14:paraId="4844F733" w14:textId="6D11B293" w:rsidR="00E16398" w:rsidRPr="00E95228" w:rsidRDefault="008C526B" w:rsidP="007D571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0013394-84.2024.4.06.8001</w:t>
            </w:r>
          </w:p>
        </w:tc>
        <w:tc>
          <w:tcPr>
            <w:tcW w:w="2693" w:type="dxa"/>
          </w:tcPr>
          <w:p w14:paraId="18CC2C08" w14:textId="6193B2C1" w:rsidR="00E16398" w:rsidRPr="00E95228" w:rsidRDefault="008C526B" w:rsidP="007D5710">
            <w:pPr>
              <w:spacing w:line="276" w:lineRule="auto"/>
              <w:ind w:firstLine="0"/>
              <w:jc w:val="both"/>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serviços de conservação, limpeza, copeiragem e apoio operacional e administrativo</w:t>
            </w:r>
          </w:p>
        </w:tc>
        <w:tc>
          <w:tcPr>
            <w:tcW w:w="1276" w:type="dxa"/>
            <w:vAlign w:val="center"/>
          </w:tcPr>
          <w:p w14:paraId="6BC1F3D7" w14:textId="091C757F" w:rsidR="00E16398" w:rsidRPr="00E95228" w:rsidRDefault="008C526B" w:rsidP="007D5710">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27.581,95</w:t>
            </w:r>
          </w:p>
        </w:tc>
        <w:tc>
          <w:tcPr>
            <w:tcW w:w="1134" w:type="dxa"/>
            <w:vAlign w:val="center"/>
          </w:tcPr>
          <w:p w14:paraId="0AB45D25" w14:textId="67006F4F" w:rsidR="00E16398" w:rsidRPr="00E95228" w:rsidRDefault="008C526B" w:rsidP="007D5710">
            <w:pPr>
              <w:spacing w:line="276" w:lineRule="auto"/>
              <w:ind w:firstLine="0"/>
              <w:jc w:val="center"/>
              <w:rPr>
                <w:rFonts w:ascii="Times New Roman" w:eastAsia="Times New Roman" w:hAnsi="Times New Roman" w:cs="Times New Roman"/>
                <w:sz w:val="20"/>
                <w:szCs w:val="20"/>
                <w:lang w:eastAsia="pt-BR"/>
              </w:rPr>
            </w:pPr>
            <w:r>
              <w:rPr>
                <w:rFonts w:ascii="Times New Roman" w:hAnsi="Times New Roman" w:cs="Times New Roman"/>
                <w:sz w:val="20"/>
                <w:szCs w:val="20"/>
              </w:rPr>
              <w:t>Dispensa de licitação</w:t>
            </w:r>
          </w:p>
        </w:tc>
        <w:tc>
          <w:tcPr>
            <w:tcW w:w="1134" w:type="dxa"/>
            <w:vAlign w:val="center"/>
          </w:tcPr>
          <w:p w14:paraId="4466066B" w14:textId="23579669" w:rsidR="00E16398" w:rsidRPr="00E95228" w:rsidRDefault="008C526B" w:rsidP="007D571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005/25</w:t>
            </w:r>
          </w:p>
        </w:tc>
        <w:tc>
          <w:tcPr>
            <w:tcW w:w="1134" w:type="dxa"/>
            <w:vAlign w:val="center"/>
          </w:tcPr>
          <w:p w14:paraId="191116A2" w14:textId="1BD7C4E3" w:rsidR="00E16398" w:rsidRPr="00E95228" w:rsidRDefault="008C526B" w:rsidP="00543BC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Montes Claros</w:t>
            </w:r>
          </w:p>
        </w:tc>
      </w:tr>
    </w:tbl>
    <w:p w14:paraId="1B004B7A" w14:textId="77777777" w:rsidR="00393583" w:rsidRPr="001155D2" w:rsidRDefault="00393583" w:rsidP="00393583">
      <w:pPr>
        <w:spacing w:line="276" w:lineRule="auto"/>
        <w:ind w:firstLine="0"/>
        <w:jc w:val="both"/>
        <w:rPr>
          <w:rFonts w:ascii="Times New Roman" w:hAnsi="Times New Roman" w:cs="Times New Roman"/>
          <w:sz w:val="20"/>
          <w:szCs w:val="20"/>
        </w:rPr>
      </w:pPr>
      <w:r w:rsidRPr="001155D2">
        <w:rPr>
          <w:rFonts w:ascii="Times New Roman" w:hAnsi="Times New Roman" w:cs="Times New Roman"/>
          <w:sz w:val="20"/>
          <w:szCs w:val="20"/>
        </w:rPr>
        <w:t>Fonte: Elaborado pela equipe de auditoria</w:t>
      </w:r>
    </w:p>
    <w:p w14:paraId="762E544B" w14:textId="77777777" w:rsidR="00EF565D" w:rsidRDefault="00EF565D" w:rsidP="00393583">
      <w:pPr>
        <w:spacing w:line="276" w:lineRule="auto"/>
        <w:ind w:firstLine="0"/>
        <w:rPr>
          <w:rFonts w:ascii="Times New Roman" w:hAnsi="Times New Roman" w:cs="Times New Roman"/>
          <w:b/>
          <w:bCs/>
          <w:sz w:val="20"/>
          <w:szCs w:val="20"/>
        </w:rPr>
      </w:pPr>
    </w:p>
    <w:p w14:paraId="18430330" w14:textId="6A19F6BB" w:rsidR="005B4101" w:rsidRPr="00825995" w:rsidRDefault="005B4101" w:rsidP="00B668B3">
      <w:pPr>
        <w:spacing w:line="276" w:lineRule="auto"/>
        <w:ind w:firstLine="708"/>
        <w:jc w:val="both"/>
        <w:rPr>
          <w:rFonts w:ascii="Times New Roman" w:hAnsi="Times New Roman" w:cs="Times New Roman"/>
          <w:sz w:val="24"/>
          <w:szCs w:val="24"/>
        </w:rPr>
      </w:pPr>
      <w:r w:rsidRPr="00825995">
        <w:rPr>
          <w:rFonts w:ascii="Times New Roman" w:hAnsi="Times New Roman" w:cs="Times New Roman"/>
          <w:sz w:val="24"/>
          <w:szCs w:val="24"/>
        </w:rPr>
        <w:t>Para subsidiar os trabalhos, foram elaborados cinco roteiros de auditoria:</w:t>
      </w:r>
    </w:p>
    <w:p w14:paraId="5DDE0B7F" w14:textId="044C0A03" w:rsidR="005B4101" w:rsidRPr="00825995" w:rsidRDefault="005B4101" w:rsidP="00825995">
      <w:pPr>
        <w:pStyle w:val="PargrafodaLista"/>
        <w:numPr>
          <w:ilvl w:val="0"/>
          <w:numId w:val="52"/>
        </w:numPr>
        <w:tabs>
          <w:tab w:val="left" w:pos="709"/>
        </w:tabs>
        <w:spacing w:before="240"/>
        <w:ind w:left="1134" w:right="120"/>
        <w:jc w:val="both"/>
        <w:rPr>
          <w:rFonts w:ascii="Times New Roman" w:eastAsia="Times New Roman" w:hAnsi="Times New Roman" w:cs="Times New Roman"/>
          <w:color w:val="000000"/>
          <w:sz w:val="24"/>
          <w:szCs w:val="24"/>
          <w:lang w:eastAsia="pt-BR"/>
        </w:rPr>
      </w:pPr>
      <w:r w:rsidRPr="00825995">
        <w:rPr>
          <w:rFonts w:ascii="Times New Roman" w:eastAsia="Times New Roman" w:hAnsi="Times New Roman" w:cs="Times New Roman"/>
          <w:color w:val="000000"/>
          <w:sz w:val="24"/>
          <w:szCs w:val="24"/>
          <w:lang w:eastAsia="pt-BR"/>
        </w:rPr>
        <w:t>Roteiro geral, baseado no Guia de Gestão de Riscos do CJF (</w:t>
      </w:r>
      <w:r w:rsidR="00AF35CA" w:rsidRPr="00AF35CA">
        <w:rPr>
          <w:rFonts w:ascii="Times New Roman" w:hAnsi="Times New Roman" w:cs="Times New Roman"/>
          <w:sz w:val="24"/>
          <w:szCs w:val="24"/>
        </w:rPr>
        <w:t>Resolução </w:t>
      </w:r>
      <w:hyperlink r:id="rId75" w:tgtFrame="_blank" w:history="1">
        <w:r w:rsidR="00AF35CA" w:rsidRPr="00AF35CA">
          <w:rPr>
            <w:rStyle w:val="Hyperlink"/>
            <w:rFonts w:ascii="Times New Roman" w:hAnsi="Times New Roman" w:cs="Times New Roman"/>
            <w:sz w:val="24"/>
            <w:szCs w:val="24"/>
          </w:rPr>
          <w:t>798/2022</w:t>
        </w:r>
      </w:hyperlink>
      <w:r w:rsidRPr="00825995">
        <w:rPr>
          <w:rFonts w:ascii="Times New Roman" w:eastAsia="Times New Roman" w:hAnsi="Times New Roman" w:cs="Times New Roman"/>
          <w:color w:val="000000"/>
          <w:sz w:val="24"/>
          <w:szCs w:val="24"/>
          <w:lang w:eastAsia="pt-BR"/>
        </w:rPr>
        <w:t>) (id. 1278249);</w:t>
      </w:r>
    </w:p>
    <w:p w14:paraId="2A6BF6C8" w14:textId="77777777" w:rsidR="005B4101" w:rsidRPr="00825995" w:rsidRDefault="005B4101" w:rsidP="00825995">
      <w:pPr>
        <w:pStyle w:val="PargrafodaLista"/>
        <w:numPr>
          <w:ilvl w:val="0"/>
          <w:numId w:val="52"/>
        </w:numPr>
        <w:tabs>
          <w:tab w:val="left" w:pos="709"/>
        </w:tabs>
        <w:spacing w:before="240"/>
        <w:ind w:left="1134" w:right="120"/>
        <w:jc w:val="both"/>
        <w:rPr>
          <w:rFonts w:ascii="Times New Roman" w:eastAsia="Times New Roman" w:hAnsi="Times New Roman" w:cs="Times New Roman"/>
          <w:color w:val="000000"/>
          <w:sz w:val="24"/>
          <w:szCs w:val="24"/>
          <w:lang w:eastAsia="pt-BR"/>
        </w:rPr>
      </w:pPr>
      <w:r w:rsidRPr="00825995">
        <w:rPr>
          <w:rFonts w:ascii="Times New Roman" w:eastAsia="Times New Roman" w:hAnsi="Times New Roman" w:cs="Times New Roman"/>
          <w:color w:val="000000"/>
          <w:sz w:val="24"/>
          <w:szCs w:val="24"/>
          <w:lang w:eastAsia="pt-BR"/>
        </w:rPr>
        <w:t>Roteiro para análise da SEAFI – Juiz de Fora (id. 1278254);</w:t>
      </w:r>
    </w:p>
    <w:p w14:paraId="0AE722DD" w14:textId="77777777" w:rsidR="005B4101" w:rsidRPr="00825995" w:rsidRDefault="005B4101" w:rsidP="00825995">
      <w:pPr>
        <w:pStyle w:val="PargrafodaLista"/>
        <w:numPr>
          <w:ilvl w:val="0"/>
          <w:numId w:val="52"/>
        </w:numPr>
        <w:tabs>
          <w:tab w:val="left" w:pos="709"/>
        </w:tabs>
        <w:spacing w:before="240"/>
        <w:ind w:left="1134" w:right="120"/>
        <w:jc w:val="both"/>
        <w:rPr>
          <w:rFonts w:ascii="Times New Roman" w:eastAsia="Times New Roman" w:hAnsi="Times New Roman" w:cs="Times New Roman"/>
          <w:color w:val="000000"/>
          <w:sz w:val="24"/>
          <w:szCs w:val="24"/>
          <w:lang w:eastAsia="pt-BR"/>
        </w:rPr>
      </w:pPr>
      <w:r w:rsidRPr="00825995">
        <w:rPr>
          <w:rFonts w:ascii="Times New Roman" w:eastAsia="Times New Roman" w:hAnsi="Times New Roman" w:cs="Times New Roman"/>
          <w:color w:val="000000"/>
          <w:sz w:val="24"/>
          <w:szCs w:val="24"/>
          <w:lang w:eastAsia="pt-BR"/>
        </w:rPr>
        <w:t>Roteiro para análise da SEGET (id. 1278256);</w:t>
      </w:r>
    </w:p>
    <w:p w14:paraId="60312158" w14:textId="77777777" w:rsidR="005B4101" w:rsidRPr="00825995" w:rsidRDefault="005B4101" w:rsidP="00825995">
      <w:pPr>
        <w:pStyle w:val="PargrafodaLista"/>
        <w:numPr>
          <w:ilvl w:val="0"/>
          <w:numId w:val="52"/>
        </w:numPr>
        <w:tabs>
          <w:tab w:val="left" w:pos="709"/>
        </w:tabs>
        <w:spacing w:before="240"/>
        <w:ind w:left="1134" w:right="120"/>
        <w:jc w:val="both"/>
        <w:rPr>
          <w:rFonts w:ascii="Times New Roman" w:eastAsia="Times New Roman" w:hAnsi="Times New Roman" w:cs="Times New Roman"/>
          <w:color w:val="000000"/>
          <w:sz w:val="24"/>
          <w:szCs w:val="24"/>
          <w:lang w:eastAsia="pt-BR"/>
        </w:rPr>
      </w:pPr>
      <w:r w:rsidRPr="00825995">
        <w:rPr>
          <w:rFonts w:ascii="Times New Roman" w:eastAsia="Times New Roman" w:hAnsi="Times New Roman" w:cs="Times New Roman"/>
          <w:color w:val="000000"/>
          <w:sz w:val="24"/>
          <w:szCs w:val="24"/>
          <w:lang w:eastAsia="pt-BR"/>
        </w:rPr>
        <w:t>Roteiro para análise da SELIT (id. 1278259);</w:t>
      </w:r>
    </w:p>
    <w:p w14:paraId="57D91B7D" w14:textId="77777777" w:rsidR="005B4101" w:rsidRPr="00825995" w:rsidRDefault="005B4101" w:rsidP="00825995">
      <w:pPr>
        <w:pStyle w:val="PargrafodaLista"/>
        <w:numPr>
          <w:ilvl w:val="0"/>
          <w:numId w:val="52"/>
        </w:numPr>
        <w:tabs>
          <w:tab w:val="left" w:pos="709"/>
        </w:tabs>
        <w:spacing w:before="240"/>
        <w:ind w:left="1134" w:right="120"/>
        <w:jc w:val="both"/>
        <w:rPr>
          <w:rFonts w:ascii="Times New Roman" w:eastAsia="Times New Roman" w:hAnsi="Times New Roman" w:cs="Times New Roman"/>
          <w:color w:val="000000"/>
          <w:sz w:val="24"/>
          <w:szCs w:val="24"/>
          <w:lang w:eastAsia="pt-BR"/>
        </w:rPr>
      </w:pPr>
      <w:r w:rsidRPr="00825995">
        <w:rPr>
          <w:rFonts w:ascii="Times New Roman" w:eastAsia="Times New Roman" w:hAnsi="Times New Roman" w:cs="Times New Roman"/>
          <w:color w:val="000000"/>
          <w:sz w:val="24"/>
          <w:szCs w:val="24"/>
          <w:lang w:eastAsia="pt-BR"/>
        </w:rPr>
        <w:t>Roteiro para análise das demais unidades (id. 1278263).</w:t>
      </w:r>
    </w:p>
    <w:p w14:paraId="438946E2" w14:textId="77777777" w:rsidR="00FA564A" w:rsidRDefault="005B4101" w:rsidP="00FA564A">
      <w:pPr>
        <w:pStyle w:val="NormalWeb"/>
        <w:spacing w:before="240" w:beforeAutospacing="0" w:after="0" w:afterAutospacing="0"/>
        <w:ind w:right="108" w:firstLine="708"/>
        <w:jc w:val="both"/>
      </w:pPr>
      <w:r w:rsidRPr="00825995">
        <w:t>A partir das análises realizadas, verificou-se que a cultura de gestão de riscos no âmbito do TRF6 ainda demanda maior atenção da alta administração, bem como das unidades diretamente envolvidas na gestão e fiscalização de contratos de terceirização com dedicação exclusiva de mão de obra.</w:t>
      </w:r>
    </w:p>
    <w:p w14:paraId="0C9CE23A" w14:textId="0B4725FE" w:rsidR="005B4101" w:rsidRPr="007F4AF7" w:rsidRDefault="005B4101" w:rsidP="007F4AF7">
      <w:pPr>
        <w:spacing w:before="240"/>
        <w:ind w:firstLine="708"/>
        <w:jc w:val="both"/>
        <w:rPr>
          <w:rFonts w:ascii="Times New Roman" w:hAnsi="Times New Roman" w:cs="Times New Roman"/>
          <w:sz w:val="24"/>
          <w:szCs w:val="24"/>
        </w:rPr>
      </w:pPr>
      <w:r w:rsidRPr="007F4AF7">
        <w:rPr>
          <w:rFonts w:ascii="Times New Roman" w:hAnsi="Times New Roman" w:cs="Times New Roman"/>
          <w:sz w:val="24"/>
          <w:szCs w:val="24"/>
        </w:rPr>
        <w:t>No que se refere às seções que atuam diretamente na gestão desses contratos, foram identificados os seguintes aspectos:</w:t>
      </w:r>
    </w:p>
    <w:p w14:paraId="799F8D9A" w14:textId="77777777" w:rsidR="005B4101" w:rsidRPr="007F4AF7" w:rsidRDefault="005B4101" w:rsidP="007F4AF7">
      <w:pPr>
        <w:pStyle w:val="PargrafodaLista"/>
        <w:numPr>
          <w:ilvl w:val="0"/>
          <w:numId w:val="53"/>
        </w:numPr>
        <w:spacing w:before="240"/>
        <w:ind w:left="1134"/>
        <w:jc w:val="both"/>
        <w:rPr>
          <w:rFonts w:ascii="Times New Roman" w:hAnsi="Times New Roman" w:cs="Times New Roman"/>
          <w:sz w:val="24"/>
          <w:szCs w:val="24"/>
        </w:rPr>
      </w:pPr>
      <w:r w:rsidRPr="007F4AF7">
        <w:rPr>
          <w:rFonts w:ascii="Times New Roman" w:hAnsi="Times New Roman" w:cs="Times New Roman"/>
          <w:sz w:val="24"/>
          <w:szCs w:val="24"/>
        </w:rPr>
        <w:t>necessidade de treinamento e capacitação em gestão de riscos, especialmente quanto aos normativos do CJF e do CNJ;</w:t>
      </w:r>
    </w:p>
    <w:p w14:paraId="79085889" w14:textId="77777777" w:rsidR="005B4101" w:rsidRPr="007F4AF7" w:rsidRDefault="005B4101" w:rsidP="007F4AF7">
      <w:pPr>
        <w:pStyle w:val="NormalWeb"/>
        <w:numPr>
          <w:ilvl w:val="0"/>
          <w:numId w:val="53"/>
        </w:numPr>
        <w:spacing w:before="0" w:beforeAutospacing="0" w:after="0" w:afterAutospacing="0"/>
        <w:ind w:left="1134" w:right="108" w:hanging="357"/>
        <w:jc w:val="both"/>
      </w:pPr>
      <w:r w:rsidRPr="007F4AF7">
        <w:t>oportunidades de melhoria na elaboração dos documentos relacionados à gestão de riscos;</w:t>
      </w:r>
    </w:p>
    <w:p w14:paraId="503968E5" w14:textId="77777777" w:rsidR="005B4101" w:rsidRPr="00825995" w:rsidRDefault="005B4101" w:rsidP="007F4AF7">
      <w:pPr>
        <w:pStyle w:val="NormalWeb"/>
        <w:numPr>
          <w:ilvl w:val="0"/>
          <w:numId w:val="53"/>
        </w:numPr>
        <w:spacing w:before="0" w:beforeAutospacing="0" w:after="0" w:afterAutospacing="0"/>
        <w:ind w:left="1134" w:right="108" w:hanging="357"/>
        <w:jc w:val="both"/>
      </w:pPr>
      <w:r w:rsidRPr="007F4AF7">
        <w:t>ausência</w:t>
      </w:r>
      <w:r w:rsidRPr="00825995">
        <w:t xml:space="preserve"> de normativos internos específicos voltados à gestão de riscos aplicável às contratações de serviços terceirizados com dedicação exclusiva de mão de obra; e</w:t>
      </w:r>
    </w:p>
    <w:p w14:paraId="4579ED09" w14:textId="77777777" w:rsidR="005B4101" w:rsidRDefault="005B4101" w:rsidP="00FA564A">
      <w:pPr>
        <w:pStyle w:val="NormalWeb"/>
        <w:numPr>
          <w:ilvl w:val="0"/>
          <w:numId w:val="53"/>
        </w:numPr>
        <w:spacing w:before="0" w:beforeAutospacing="0" w:after="0" w:afterAutospacing="0"/>
        <w:ind w:left="1134" w:right="108" w:hanging="357"/>
        <w:jc w:val="both"/>
      </w:pPr>
      <w:r w:rsidRPr="00825995">
        <w:t>necessidade de revisão de procedimentos e de controles internos relacionados à gestão e fiscalização contratual.</w:t>
      </w:r>
    </w:p>
    <w:p w14:paraId="694767BD" w14:textId="77777777" w:rsidR="00356A23" w:rsidRPr="00825995" w:rsidRDefault="00356A23" w:rsidP="00356A23">
      <w:pPr>
        <w:pStyle w:val="NormalWeb"/>
        <w:spacing w:before="0" w:beforeAutospacing="0" w:after="0" w:afterAutospacing="0"/>
        <w:ind w:left="1134" w:right="108" w:firstLine="0"/>
        <w:jc w:val="both"/>
      </w:pPr>
    </w:p>
    <w:p w14:paraId="1F2C2A9D" w14:textId="05ABB184" w:rsidR="005B4101" w:rsidRPr="00825995" w:rsidRDefault="00691F19" w:rsidP="00455191">
      <w:pPr>
        <w:pStyle w:val="NormalWeb"/>
        <w:spacing w:before="240" w:beforeAutospacing="0" w:after="0" w:afterAutospacing="0"/>
        <w:ind w:right="108" w:firstLine="0"/>
        <w:jc w:val="both"/>
        <w:rPr>
          <w:b/>
          <w:bCs/>
        </w:rPr>
      </w:pPr>
      <w:r>
        <w:rPr>
          <w:b/>
          <w:bCs/>
        </w:rPr>
        <w:t>f</w:t>
      </w:r>
      <w:r w:rsidR="005B4101" w:rsidRPr="00825995">
        <w:rPr>
          <w:b/>
          <w:bCs/>
        </w:rPr>
        <w:t>.</w:t>
      </w:r>
      <w:r>
        <w:rPr>
          <w:b/>
          <w:bCs/>
        </w:rPr>
        <w:t>2</w:t>
      </w:r>
      <w:r w:rsidR="005B4101" w:rsidRPr="00825995">
        <w:rPr>
          <w:b/>
          <w:bCs/>
        </w:rPr>
        <w:t xml:space="preserve"> – Monitoramento Manutenção de elevadores</w:t>
      </w:r>
    </w:p>
    <w:p w14:paraId="3C1624AC" w14:textId="77777777" w:rsidR="00455191" w:rsidRDefault="005B4101" w:rsidP="00455191">
      <w:pPr>
        <w:pStyle w:val="NormalWeb"/>
        <w:spacing w:before="240" w:beforeAutospacing="0" w:after="0" w:afterAutospacing="0"/>
        <w:ind w:right="108" w:firstLine="708"/>
        <w:jc w:val="both"/>
      </w:pPr>
      <w:r w:rsidRPr="00455191">
        <w:t>Foram monitoradas as recomendações da Auditoria de Conformidade na Execução e nos Pagamentos das Contratações Terceirizadas de Manutenção de Elevadores, em vigor no ano de 2024, no âmbito do TRF6 e da SJMG e Subseções Judiciárias, que teve como escopo a fase de execução contratual dos contratos terceirizados de manutenção de elevadores.</w:t>
      </w:r>
    </w:p>
    <w:p w14:paraId="438034A8" w14:textId="6DD91561" w:rsidR="005B4101" w:rsidRPr="00455191" w:rsidRDefault="005B4101" w:rsidP="00455191">
      <w:pPr>
        <w:pStyle w:val="NormalWeb"/>
        <w:spacing w:before="240" w:beforeAutospacing="0" w:after="0" w:afterAutospacing="0"/>
        <w:ind w:right="108" w:firstLine="708"/>
        <w:jc w:val="both"/>
      </w:pPr>
      <w:r w:rsidRPr="00455191">
        <w:t>A amostra de monitoramento foi atualizada em razão de novas contratações, conforme quadro a seguir.</w:t>
      </w:r>
    </w:p>
    <w:p w14:paraId="2870F1C4" w14:textId="77777777" w:rsidR="005B4101" w:rsidRDefault="005B4101" w:rsidP="005B4101">
      <w:pPr>
        <w:ind w:firstLine="1134"/>
        <w:jc w:val="both"/>
        <w:rPr>
          <w:rFonts w:ascii="Times New Roman" w:hAnsi="Times New Roman" w:cs="Times New Roman"/>
        </w:rPr>
      </w:pPr>
    </w:p>
    <w:p w14:paraId="136CEF38" w14:textId="77777777" w:rsidR="00102AC8" w:rsidRDefault="00102AC8" w:rsidP="005B4101">
      <w:pPr>
        <w:ind w:firstLine="1134"/>
        <w:jc w:val="both"/>
        <w:rPr>
          <w:rFonts w:ascii="Times New Roman" w:hAnsi="Times New Roman" w:cs="Times New Roman"/>
        </w:rPr>
      </w:pPr>
    </w:p>
    <w:p w14:paraId="117F48DC" w14:textId="77777777" w:rsidR="00102AC8" w:rsidRPr="0013244A" w:rsidRDefault="00102AC8" w:rsidP="005B4101">
      <w:pPr>
        <w:ind w:firstLine="1134"/>
        <w:jc w:val="both"/>
        <w:rPr>
          <w:rFonts w:ascii="Times New Roman" w:hAnsi="Times New Roman" w:cs="Times New Roman"/>
        </w:rPr>
      </w:pPr>
    </w:p>
    <w:p w14:paraId="1B86A71C" w14:textId="432098CB" w:rsidR="007F4AF7" w:rsidRPr="009B0AA3" w:rsidRDefault="005B4101" w:rsidP="007F59BC">
      <w:pPr>
        <w:spacing w:line="276" w:lineRule="auto"/>
        <w:ind w:firstLine="0"/>
        <w:jc w:val="center"/>
        <w:rPr>
          <w:rFonts w:ascii="Times New Roman" w:hAnsi="Times New Roman" w:cs="Times New Roman"/>
          <w:b/>
          <w:bCs/>
          <w:sz w:val="20"/>
          <w:szCs w:val="20"/>
        </w:rPr>
      </w:pPr>
      <w:r w:rsidRPr="007F59BC">
        <w:rPr>
          <w:rFonts w:ascii="Times New Roman" w:hAnsi="Times New Roman" w:cs="Times New Roman"/>
          <w:b/>
          <w:bCs/>
          <w:sz w:val="20"/>
          <w:szCs w:val="20"/>
        </w:rPr>
        <w:lastRenderedPageBreak/>
        <w:t>Quadro</w:t>
      </w:r>
      <w:r w:rsidR="007F59BC" w:rsidRPr="007F59BC">
        <w:rPr>
          <w:rFonts w:ascii="Times New Roman" w:hAnsi="Times New Roman" w:cs="Times New Roman"/>
          <w:b/>
          <w:bCs/>
          <w:sz w:val="20"/>
          <w:szCs w:val="20"/>
        </w:rPr>
        <w:t xml:space="preserve"> </w:t>
      </w:r>
      <w:r w:rsidR="00102AC8">
        <w:rPr>
          <w:rFonts w:ascii="Times New Roman" w:hAnsi="Times New Roman" w:cs="Times New Roman"/>
          <w:b/>
          <w:bCs/>
          <w:sz w:val="20"/>
          <w:szCs w:val="20"/>
        </w:rPr>
        <w:t>9</w:t>
      </w:r>
      <w:r w:rsidRPr="007F59BC">
        <w:rPr>
          <w:rFonts w:ascii="Times New Roman" w:hAnsi="Times New Roman" w:cs="Times New Roman"/>
          <w:b/>
          <w:bCs/>
          <w:sz w:val="20"/>
          <w:szCs w:val="20"/>
        </w:rPr>
        <w:t xml:space="preserve"> –</w:t>
      </w:r>
      <w:r w:rsidRPr="009B0AA3">
        <w:rPr>
          <w:rFonts w:ascii="Times New Roman" w:hAnsi="Times New Roman" w:cs="Times New Roman"/>
          <w:b/>
          <w:bCs/>
          <w:sz w:val="20"/>
          <w:szCs w:val="20"/>
        </w:rPr>
        <w:t xml:space="preserve"> Processos Selecionados – Manutenção de Elevadores</w:t>
      </w:r>
    </w:p>
    <w:tbl>
      <w:tblPr>
        <w:tblStyle w:val="Tabelacomgrade"/>
        <w:tblW w:w="9918" w:type="dxa"/>
        <w:jc w:val="center"/>
        <w:tblLayout w:type="fixed"/>
        <w:tblLook w:val="04A0" w:firstRow="1" w:lastRow="0" w:firstColumn="1" w:lastColumn="0" w:noHBand="0" w:noVBand="1"/>
      </w:tblPr>
      <w:tblGrid>
        <w:gridCol w:w="500"/>
        <w:gridCol w:w="2047"/>
        <w:gridCol w:w="1843"/>
        <w:gridCol w:w="1417"/>
        <w:gridCol w:w="1843"/>
        <w:gridCol w:w="992"/>
        <w:gridCol w:w="1276"/>
      </w:tblGrid>
      <w:tr w:rsidR="007F4AF7" w:rsidRPr="00E95228" w14:paraId="2D8D7D77" w14:textId="77777777" w:rsidTr="006763F2">
        <w:trPr>
          <w:jc w:val="center"/>
        </w:trPr>
        <w:tc>
          <w:tcPr>
            <w:tcW w:w="500" w:type="dxa"/>
            <w:shd w:val="clear" w:color="auto" w:fill="D9D9D9" w:themeFill="background1" w:themeFillShade="D9"/>
            <w:vAlign w:val="center"/>
          </w:tcPr>
          <w:p w14:paraId="794D323F" w14:textId="77777777" w:rsidR="007F4AF7" w:rsidRPr="00E95228" w:rsidRDefault="007F4AF7" w:rsidP="00AD2751">
            <w:pPr>
              <w:spacing w:line="276" w:lineRule="auto"/>
              <w:ind w:firstLine="0"/>
              <w:jc w:val="center"/>
              <w:rPr>
                <w:rFonts w:ascii="Times New Roman" w:eastAsia="Times New Roman" w:hAnsi="Times New Roman" w:cs="Times New Roman"/>
                <w:b/>
                <w:bCs/>
                <w:sz w:val="20"/>
                <w:szCs w:val="20"/>
                <w:lang w:eastAsia="pt-BR"/>
              </w:rPr>
            </w:pPr>
            <w:r w:rsidRPr="00E95228">
              <w:rPr>
                <w:rFonts w:ascii="Times New Roman" w:eastAsia="Times New Roman" w:hAnsi="Times New Roman" w:cs="Times New Roman"/>
                <w:b/>
                <w:bCs/>
                <w:sz w:val="20"/>
                <w:szCs w:val="20"/>
                <w:lang w:eastAsia="pt-BR"/>
              </w:rPr>
              <w:t>Nº.</w:t>
            </w:r>
          </w:p>
        </w:tc>
        <w:tc>
          <w:tcPr>
            <w:tcW w:w="2047" w:type="dxa"/>
            <w:shd w:val="clear" w:color="auto" w:fill="D9D9D9" w:themeFill="background1" w:themeFillShade="D9"/>
            <w:vAlign w:val="center"/>
          </w:tcPr>
          <w:p w14:paraId="218D88BC" w14:textId="77777777" w:rsidR="007F4AF7" w:rsidRPr="00E95228" w:rsidRDefault="007F4AF7" w:rsidP="00AD2751">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Processo SEI</w:t>
            </w:r>
          </w:p>
        </w:tc>
        <w:tc>
          <w:tcPr>
            <w:tcW w:w="1843" w:type="dxa"/>
            <w:shd w:val="clear" w:color="auto" w:fill="D9D9D9" w:themeFill="background1" w:themeFillShade="D9"/>
            <w:vAlign w:val="center"/>
          </w:tcPr>
          <w:p w14:paraId="4DC352DD" w14:textId="07FD1883" w:rsidR="007F4AF7" w:rsidRPr="00E95228" w:rsidRDefault="007F4AF7" w:rsidP="00AD2751">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Execução</w:t>
            </w:r>
          </w:p>
        </w:tc>
        <w:tc>
          <w:tcPr>
            <w:tcW w:w="1417" w:type="dxa"/>
            <w:shd w:val="clear" w:color="auto" w:fill="D9D9D9" w:themeFill="background1" w:themeFillShade="D9"/>
            <w:vAlign w:val="center"/>
          </w:tcPr>
          <w:p w14:paraId="594EB576" w14:textId="77777777" w:rsidR="007F4AF7" w:rsidRPr="00E95228" w:rsidRDefault="007F4AF7" w:rsidP="00AD2751">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 xml:space="preserve">Valor </w:t>
            </w:r>
          </w:p>
        </w:tc>
        <w:tc>
          <w:tcPr>
            <w:tcW w:w="1843" w:type="dxa"/>
            <w:shd w:val="clear" w:color="auto" w:fill="D9D9D9" w:themeFill="background1" w:themeFillShade="D9"/>
            <w:vAlign w:val="center"/>
          </w:tcPr>
          <w:p w14:paraId="3B944D27" w14:textId="77777777" w:rsidR="007F4AF7" w:rsidRPr="00E95228" w:rsidRDefault="007F4AF7" w:rsidP="00AD2751">
            <w:pPr>
              <w:spacing w:line="276" w:lineRule="auto"/>
              <w:ind w:firstLine="0"/>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Mod. Licitatória</w:t>
            </w:r>
          </w:p>
        </w:tc>
        <w:tc>
          <w:tcPr>
            <w:tcW w:w="992" w:type="dxa"/>
            <w:shd w:val="clear" w:color="auto" w:fill="D9D9D9" w:themeFill="background1" w:themeFillShade="D9"/>
            <w:vAlign w:val="center"/>
          </w:tcPr>
          <w:p w14:paraId="4360B07A" w14:textId="77777777" w:rsidR="007F4AF7" w:rsidRPr="00E95228" w:rsidRDefault="007F4AF7" w:rsidP="00AD2751">
            <w:pPr>
              <w:spacing w:line="276" w:lineRule="auto"/>
              <w:ind w:firstLine="0"/>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Contrato</w:t>
            </w:r>
          </w:p>
        </w:tc>
        <w:tc>
          <w:tcPr>
            <w:tcW w:w="1276" w:type="dxa"/>
            <w:shd w:val="clear" w:color="auto" w:fill="D9D9D9" w:themeFill="background1" w:themeFillShade="D9"/>
          </w:tcPr>
          <w:p w14:paraId="6F5F13F4" w14:textId="77777777" w:rsidR="007F4AF7" w:rsidRDefault="007F4AF7" w:rsidP="00AD2751">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Unidade resp.</w:t>
            </w:r>
          </w:p>
        </w:tc>
      </w:tr>
      <w:tr w:rsidR="00A37D30" w:rsidRPr="00E95228" w14:paraId="067D3787" w14:textId="77777777" w:rsidTr="006763F2">
        <w:trPr>
          <w:jc w:val="center"/>
        </w:trPr>
        <w:tc>
          <w:tcPr>
            <w:tcW w:w="500" w:type="dxa"/>
            <w:vMerge w:val="restart"/>
            <w:vAlign w:val="center"/>
          </w:tcPr>
          <w:p w14:paraId="28130198" w14:textId="77777777"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tc>
        <w:tc>
          <w:tcPr>
            <w:tcW w:w="2047" w:type="dxa"/>
            <w:vAlign w:val="center"/>
          </w:tcPr>
          <w:p w14:paraId="7C30E301" w14:textId="27428694"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0006379-33.2025.4.06.8000</w:t>
            </w:r>
          </w:p>
        </w:tc>
        <w:tc>
          <w:tcPr>
            <w:tcW w:w="1843" w:type="dxa"/>
            <w:vAlign w:val="center"/>
          </w:tcPr>
          <w:p w14:paraId="7A81A5CE" w14:textId="38190DCE" w:rsidR="00A37D30" w:rsidRPr="00E16398" w:rsidRDefault="00A37D30" w:rsidP="00A37D30">
            <w:pPr>
              <w:spacing w:line="276" w:lineRule="auto"/>
              <w:ind w:firstLine="0"/>
              <w:jc w:val="center"/>
              <w:rPr>
                <w:rFonts w:ascii="Times New Roman" w:eastAsia="Times New Roman" w:hAnsi="Times New Roman" w:cs="Times New Roman"/>
                <w:sz w:val="18"/>
                <w:szCs w:val="18"/>
                <w:lang w:eastAsia="pt-BR"/>
              </w:rPr>
            </w:pPr>
            <w:r w:rsidRPr="00B7185F">
              <w:rPr>
                <w:rFonts w:ascii="Times New Roman" w:hAnsi="Times New Roman" w:cs="Times New Roman"/>
                <w:sz w:val="20"/>
                <w:szCs w:val="20"/>
              </w:rPr>
              <w:t>0010775-53.2025.4.06.8000</w:t>
            </w:r>
          </w:p>
        </w:tc>
        <w:tc>
          <w:tcPr>
            <w:tcW w:w="1417" w:type="dxa"/>
            <w:vAlign w:val="center"/>
          </w:tcPr>
          <w:p w14:paraId="5AC2C732" w14:textId="29121945" w:rsidR="00A37D30" w:rsidRPr="00E95228" w:rsidRDefault="00A37D30"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206.880,40</w:t>
            </w:r>
          </w:p>
        </w:tc>
        <w:tc>
          <w:tcPr>
            <w:tcW w:w="1843" w:type="dxa"/>
            <w:vAlign w:val="center"/>
          </w:tcPr>
          <w:p w14:paraId="7D60B0A3" w14:textId="0154F0C6"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Dispensa de Licitação nº 16/2025</w:t>
            </w:r>
          </w:p>
        </w:tc>
        <w:tc>
          <w:tcPr>
            <w:tcW w:w="992" w:type="dxa"/>
            <w:vAlign w:val="center"/>
          </w:tcPr>
          <w:p w14:paraId="01655781" w14:textId="1EBD2A17"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050/2025</w:t>
            </w:r>
          </w:p>
        </w:tc>
        <w:tc>
          <w:tcPr>
            <w:tcW w:w="1276" w:type="dxa"/>
            <w:vAlign w:val="center"/>
          </w:tcPr>
          <w:p w14:paraId="515A0124" w14:textId="77777777" w:rsidR="00A37D30" w:rsidRDefault="00A37D30" w:rsidP="006763F2">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TRF6/</w:t>
            </w:r>
          </w:p>
          <w:p w14:paraId="27DA8DC3" w14:textId="04EAA237" w:rsidR="00A37D30" w:rsidRPr="00E95228" w:rsidRDefault="00A37D30"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SJMG</w:t>
            </w:r>
          </w:p>
        </w:tc>
      </w:tr>
      <w:tr w:rsidR="00A37D30" w:rsidRPr="00E95228" w14:paraId="4E6A27FD" w14:textId="77777777" w:rsidTr="006763F2">
        <w:trPr>
          <w:jc w:val="center"/>
        </w:trPr>
        <w:tc>
          <w:tcPr>
            <w:tcW w:w="500" w:type="dxa"/>
            <w:vMerge/>
            <w:vAlign w:val="center"/>
          </w:tcPr>
          <w:p w14:paraId="0CC7F22D" w14:textId="0590FB3F"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p>
        </w:tc>
        <w:tc>
          <w:tcPr>
            <w:tcW w:w="2047" w:type="dxa"/>
            <w:vAlign w:val="center"/>
          </w:tcPr>
          <w:p w14:paraId="6DA2660C" w14:textId="13F6EE26"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0005298-68.2022.4.01.8008</w:t>
            </w:r>
          </w:p>
        </w:tc>
        <w:tc>
          <w:tcPr>
            <w:tcW w:w="1843" w:type="dxa"/>
            <w:vAlign w:val="center"/>
          </w:tcPr>
          <w:p w14:paraId="0A31DDAD" w14:textId="3180A659" w:rsidR="00A37D30" w:rsidRPr="00E95228" w:rsidRDefault="00A37D30" w:rsidP="00A37D3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0000731-72.2025.4.06.8000</w:t>
            </w:r>
          </w:p>
        </w:tc>
        <w:tc>
          <w:tcPr>
            <w:tcW w:w="1417" w:type="dxa"/>
            <w:vAlign w:val="center"/>
          </w:tcPr>
          <w:p w14:paraId="3611E2BB" w14:textId="4EE6B744" w:rsidR="00A37D30" w:rsidRPr="00E95228" w:rsidRDefault="00A37D30"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50.338,44</w:t>
            </w:r>
          </w:p>
        </w:tc>
        <w:tc>
          <w:tcPr>
            <w:tcW w:w="1843" w:type="dxa"/>
            <w:vAlign w:val="center"/>
          </w:tcPr>
          <w:p w14:paraId="6733F234" w14:textId="53CA872F"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 nº 27/2022</w:t>
            </w:r>
          </w:p>
        </w:tc>
        <w:tc>
          <w:tcPr>
            <w:tcW w:w="992" w:type="dxa"/>
            <w:vAlign w:val="center"/>
          </w:tcPr>
          <w:p w14:paraId="4EDF9FAA" w14:textId="06CE8E1A"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071/2022</w:t>
            </w:r>
          </w:p>
        </w:tc>
        <w:tc>
          <w:tcPr>
            <w:tcW w:w="1276" w:type="dxa"/>
            <w:vAlign w:val="center"/>
          </w:tcPr>
          <w:p w14:paraId="28680B14" w14:textId="77777777" w:rsidR="00A37D30" w:rsidRDefault="00A37D30" w:rsidP="006763F2">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TRF6/</w:t>
            </w:r>
          </w:p>
          <w:p w14:paraId="73FD1060" w14:textId="3A7DC23A" w:rsidR="00A37D30" w:rsidRPr="00E95228" w:rsidRDefault="00A37D30"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SJMG</w:t>
            </w:r>
          </w:p>
        </w:tc>
      </w:tr>
      <w:tr w:rsidR="00A37D30" w:rsidRPr="00E95228" w14:paraId="3D3C96D9" w14:textId="77777777" w:rsidTr="006763F2">
        <w:trPr>
          <w:jc w:val="center"/>
        </w:trPr>
        <w:tc>
          <w:tcPr>
            <w:tcW w:w="500" w:type="dxa"/>
            <w:vMerge/>
            <w:vAlign w:val="center"/>
          </w:tcPr>
          <w:p w14:paraId="598CEB27" w14:textId="26036100"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p>
        </w:tc>
        <w:tc>
          <w:tcPr>
            <w:tcW w:w="2047" w:type="dxa"/>
            <w:vAlign w:val="center"/>
          </w:tcPr>
          <w:p w14:paraId="0E2613A2" w14:textId="0D7F6AAD"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0000816-58.2025.4.06.8000</w:t>
            </w:r>
          </w:p>
        </w:tc>
        <w:tc>
          <w:tcPr>
            <w:tcW w:w="1843" w:type="dxa"/>
            <w:vAlign w:val="center"/>
          </w:tcPr>
          <w:p w14:paraId="65CBE6DF" w14:textId="0672D040" w:rsidR="00A37D30" w:rsidRPr="00E95228" w:rsidRDefault="00A37D30" w:rsidP="00A37D3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0010067-03.2025.4.06.8000</w:t>
            </w:r>
          </w:p>
        </w:tc>
        <w:tc>
          <w:tcPr>
            <w:tcW w:w="1417" w:type="dxa"/>
            <w:vAlign w:val="center"/>
          </w:tcPr>
          <w:p w14:paraId="5A64DB9E" w14:textId="40CFA8C3" w:rsidR="00A37D30" w:rsidRPr="00E95228" w:rsidRDefault="00A37D30"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59.976,00</w:t>
            </w:r>
          </w:p>
        </w:tc>
        <w:tc>
          <w:tcPr>
            <w:tcW w:w="1843" w:type="dxa"/>
            <w:vAlign w:val="center"/>
          </w:tcPr>
          <w:p w14:paraId="6A4A17BC" w14:textId="268D7FD2"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 nº 90002/2025</w:t>
            </w:r>
          </w:p>
        </w:tc>
        <w:tc>
          <w:tcPr>
            <w:tcW w:w="992" w:type="dxa"/>
            <w:vAlign w:val="center"/>
          </w:tcPr>
          <w:p w14:paraId="377D713F" w14:textId="22EB381F"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052/2025</w:t>
            </w:r>
          </w:p>
        </w:tc>
        <w:tc>
          <w:tcPr>
            <w:tcW w:w="1276" w:type="dxa"/>
            <w:vAlign w:val="center"/>
          </w:tcPr>
          <w:p w14:paraId="191D9EAB" w14:textId="77777777" w:rsidR="00A37D30" w:rsidRDefault="00A37D30" w:rsidP="006763F2">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TRF6/</w:t>
            </w:r>
          </w:p>
          <w:p w14:paraId="626E5194" w14:textId="205CC5E3" w:rsidR="00A37D30" w:rsidRPr="00E95228" w:rsidRDefault="00A37D30"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SJMG</w:t>
            </w:r>
          </w:p>
        </w:tc>
      </w:tr>
      <w:tr w:rsidR="00A37D30" w:rsidRPr="00E95228" w14:paraId="3F8E9487" w14:textId="77777777" w:rsidTr="006763F2">
        <w:trPr>
          <w:jc w:val="center"/>
        </w:trPr>
        <w:tc>
          <w:tcPr>
            <w:tcW w:w="500" w:type="dxa"/>
            <w:vMerge/>
            <w:vAlign w:val="center"/>
          </w:tcPr>
          <w:p w14:paraId="5873D4E1" w14:textId="6AAD10EB" w:rsidR="00A37D30"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p>
        </w:tc>
        <w:tc>
          <w:tcPr>
            <w:tcW w:w="2047" w:type="dxa"/>
            <w:vAlign w:val="center"/>
          </w:tcPr>
          <w:p w14:paraId="6EBA919B" w14:textId="76F67BC0" w:rsidR="00A37D30" w:rsidRPr="00A37D30" w:rsidRDefault="00A37D30" w:rsidP="00A37D30">
            <w:pPr>
              <w:spacing w:line="276" w:lineRule="auto"/>
              <w:ind w:firstLine="0"/>
              <w:jc w:val="center"/>
              <w:rPr>
                <w:rFonts w:ascii="Times New Roman" w:hAnsi="Times New Roman" w:cs="Times New Roman"/>
                <w:sz w:val="20"/>
                <w:szCs w:val="20"/>
              </w:rPr>
            </w:pPr>
            <w:r w:rsidRPr="00B7185F">
              <w:rPr>
                <w:rFonts w:ascii="Times New Roman" w:hAnsi="Times New Roman" w:cs="Times New Roman"/>
                <w:sz w:val="20"/>
                <w:szCs w:val="20"/>
              </w:rPr>
              <w:t>0000421-03.2024.4.06.8000</w:t>
            </w:r>
            <w:r w:rsidRPr="0013244A">
              <w:rPr>
                <w:rFonts w:ascii="Times New Roman" w:hAnsi="Times New Roman" w:cs="Times New Roman"/>
                <w:sz w:val="20"/>
                <w:szCs w:val="20"/>
              </w:rPr>
              <w:t>​​​​​​​</w:t>
            </w:r>
            <w:r>
              <w:rPr>
                <w:rFonts w:ascii="Times New Roman" w:hAnsi="Times New Roman" w:cs="Times New Roman"/>
                <w:sz w:val="20"/>
                <w:szCs w:val="20"/>
              </w:rPr>
              <w:t xml:space="preserve"> </w:t>
            </w:r>
            <w:r w:rsidRPr="0013244A">
              <w:rPr>
                <w:rFonts w:ascii="Times New Roman" w:hAnsi="Times New Roman" w:cs="Times New Roman"/>
                <w:sz w:val="20"/>
                <w:szCs w:val="20"/>
              </w:rPr>
              <w:t>(serviços de assessoria técnica)</w:t>
            </w:r>
          </w:p>
        </w:tc>
        <w:tc>
          <w:tcPr>
            <w:tcW w:w="1843" w:type="dxa"/>
            <w:vAlign w:val="center"/>
          </w:tcPr>
          <w:p w14:paraId="0670C74C" w14:textId="45491F5D" w:rsidR="00A37D30" w:rsidRPr="00E95228" w:rsidRDefault="00A37D30" w:rsidP="00A37D3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0000816-58.2025.4.06.8000</w:t>
            </w:r>
          </w:p>
        </w:tc>
        <w:tc>
          <w:tcPr>
            <w:tcW w:w="1417" w:type="dxa"/>
            <w:vAlign w:val="center"/>
          </w:tcPr>
          <w:p w14:paraId="2F9A55F3" w14:textId="36B54155" w:rsidR="00A37D30" w:rsidRPr="00E95228" w:rsidRDefault="00A37D30" w:rsidP="00A37D30">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155.973,03</w:t>
            </w:r>
          </w:p>
        </w:tc>
        <w:tc>
          <w:tcPr>
            <w:tcW w:w="1843" w:type="dxa"/>
            <w:vAlign w:val="center"/>
          </w:tcPr>
          <w:p w14:paraId="4EE00C9D" w14:textId="1921F139" w:rsidR="00A37D30" w:rsidRPr="00E95228" w:rsidRDefault="00A37D30" w:rsidP="00A37D3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 nº 90016/2024</w:t>
            </w:r>
          </w:p>
        </w:tc>
        <w:tc>
          <w:tcPr>
            <w:tcW w:w="992" w:type="dxa"/>
            <w:vAlign w:val="center"/>
          </w:tcPr>
          <w:p w14:paraId="0450CBDD" w14:textId="6CFB26AB" w:rsidR="00A37D30" w:rsidRPr="00E95228" w:rsidRDefault="00A37D30" w:rsidP="00A37D30">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019/2025</w:t>
            </w:r>
          </w:p>
        </w:tc>
        <w:tc>
          <w:tcPr>
            <w:tcW w:w="1276" w:type="dxa"/>
            <w:vAlign w:val="center"/>
          </w:tcPr>
          <w:p w14:paraId="22205F0C" w14:textId="77777777" w:rsidR="00A37D30" w:rsidRDefault="00A37D30" w:rsidP="006763F2">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TRF6/</w:t>
            </w:r>
          </w:p>
          <w:p w14:paraId="46CCF2E2" w14:textId="4EEB1112" w:rsidR="00A37D30" w:rsidRPr="00E95228" w:rsidRDefault="00A37D30"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SJMG</w:t>
            </w:r>
          </w:p>
        </w:tc>
      </w:tr>
      <w:tr w:rsidR="007F4AF7" w:rsidRPr="00E95228" w14:paraId="3C236EC0" w14:textId="77777777" w:rsidTr="006763F2">
        <w:trPr>
          <w:jc w:val="center"/>
        </w:trPr>
        <w:tc>
          <w:tcPr>
            <w:tcW w:w="500" w:type="dxa"/>
            <w:vAlign w:val="center"/>
          </w:tcPr>
          <w:p w14:paraId="5BE4E35F" w14:textId="2E59D16E" w:rsidR="007F4AF7"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tc>
        <w:tc>
          <w:tcPr>
            <w:tcW w:w="2047" w:type="dxa"/>
            <w:vAlign w:val="center"/>
          </w:tcPr>
          <w:p w14:paraId="76F395AA" w14:textId="4E373153" w:rsidR="007F4AF7"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0005774-89.2022.4.06.8001</w:t>
            </w:r>
          </w:p>
        </w:tc>
        <w:tc>
          <w:tcPr>
            <w:tcW w:w="1843" w:type="dxa"/>
            <w:vAlign w:val="center"/>
          </w:tcPr>
          <w:p w14:paraId="79C19902" w14:textId="6AC68AF0" w:rsidR="007F4AF7" w:rsidRPr="00E95228" w:rsidRDefault="00A37D30" w:rsidP="00A37D30">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0001594-25.2025.4.06.8001</w:t>
            </w:r>
          </w:p>
        </w:tc>
        <w:tc>
          <w:tcPr>
            <w:tcW w:w="1417" w:type="dxa"/>
            <w:vAlign w:val="center"/>
          </w:tcPr>
          <w:p w14:paraId="1317E47B" w14:textId="69856B5E" w:rsidR="007F4AF7" w:rsidRPr="00E95228" w:rsidRDefault="00A37D30"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8.160,00</w:t>
            </w:r>
          </w:p>
        </w:tc>
        <w:tc>
          <w:tcPr>
            <w:tcW w:w="1843" w:type="dxa"/>
            <w:vAlign w:val="center"/>
          </w:tcPr>
          <w:p w14:paraId="16A4F4D0" w14:textId="23738F91" w:rsidR="007F4AF7"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Dispensa de licitação nº 2601/2022</w:t>
            </w:r>
          </w:p>
        </w:tc>
        <w:tc>
          <w:tcPr>
            <w:tcW w:w="992" w:type="dxa"/>
            <w:vAlign w:val="center"/>
          </w:tcPr>
          <w:p w14:paraId="515096E5" w14:textId="66E83443" w:rsidR="007F4AF7" w:rsidRPr="00E95228" w:rsidRDefault="00A37D30"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074/2022</w:t>
            </w:r>
          </w:p>
        </w:tc>
        <w:tc>
          <w:tcPr>
            <w:tcW w:w="1276" w:type="dxa"/>
            <w:vAlign w:val="center"/>
          </w:tcPr>
          <w:p w14:paraId="1BB9A609" w14:textId="251F5B57" w:rsidR="007F4AF7" w:rsidRPr="00E95228" w:rsidRDefault="00A37D30"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w:t>
            </w:r>
            <w:r w:rsidR="000902FA">
              <w:rPr>
                <w:rFonts w:ascii="Times New Roman" w:hAnsi="Times New Roman" w:cs="Times New Roman"/>
                <w:sz w:val="20"/>
                <w:szCs w:val="20"/>
              </w:rPr>
              <w:t>SJ</w:t>
            </w:r>
            <w:r w:rsidRPr="0013244A">
              <w:rPr>
                <w:rFonts w:ascii="Times New Roman" w:hAnsi="Times New Roman" w:cs="Times New Roman"/>
                <w:sz w:val="20"/>
                <w:szCs w:val="20"/>
              </w:rPr>
              <w:t xml:space="preserve"> de Viçosa</w:t>
            </w:r>
          </w:p>
        </w:tc>
      </w:tr>
      <w:tr w:rsidR="00E464D1" w:rsidRPr="00E95228" w14:paraId="19691476" w14:textId="77777777" w:rsidTr="006763F2">
        <w:trPr>
          <w:jc w:val="center"/>
        </w:trPr>
        <w:tc>
          <w:tcPr>
            <w:tcW w:w="500" w:type="dxa"/>
            <w:vMerge w:val="restart"/>
            <w:vAlign w:val="center"/>
          </w:tcPr>
          <w:p w14:paraId="365CA088" w14:textId="362D55CC" w:rsidR="00E464D1" w:rsidRPr="00E95228" w:rsidRDefault="00E464D1" w:rsidP="00AD2751">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2047" w:type="dxa"/>
            <w:vAlign w:val="center"/>
          </w:tcPr>
          <w:p w14:paraId="1A8740A6" w14:textId="1B437D54" w:rsidR="00E464D1" w:rsidRPr="00E95228" w:rsidRDefault="00E464D1"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0003816-56.2020.4.01.8008</w:t>
            </w:r>
          </w:p>
        </w:tc>
        <w:tc>
          <w:tcPr>
            <w:tcW w:w="1843" w:type="dxa"/>
            <w:vAlign w:val="center"/>
          </w:tcPr>
          <w:p w14:paraId="51C7DF78" w14:textId="34FF8F1B" w:rsidR="00E464D1" w:rsidRPr="00E95228" w:rsidRDefault="00E464D1" w:rsidP="00E464D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0002535-72.2025.4.06.8001</w:t>
            </w:r>
          </w:p>
        </w:tc>
        <w:tc>
          <w:tcPr>
            <w:tcW w:w="1417" w:type="dxa"/>
            <w:vAlign w:val="center"/>
          </w:tcPr>
          <w:p w14:paraId="7BD4DD26" w14:textId="6D3086BB" w:rsidR="00E464D1" w:rsidRPr="00E95228" w:rsidRDefault="00E464D1"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8.446,44</w:t>
            </w:r>
          </w:p>
        </w:tc>
        <w:tc>
          <w:tcPr>
            <w:tcW w:w="1843" w:type="dxa"/>
            <w:vAlign w:val="center"/>
          </w:tcPr>
          <w:p w14:paraId="303503DA" w14:textId="078D2AF8" w:rsidR="00E464D1" w:rsidRPr="00E95228" w:rsidRDefault="00E464D1"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Inexigibilidade de Licitação nº 1/2020</w:t>
            </w:r>
          </w:p>
        </w:tc>
        <w:tc>
          <w:tcPr>
            <w:tcW w:w="992" w:type="dxa"/>
            <w:vAlign w:val="center"/>
          </w:tcPr>
          <w:p w14:paraId="7CE17E36" w14:textId="46737CF4" w:rsidR="00E464D1" w:rsidRPr="00E95228" w:rsidRDefault="00E464D1"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022/2020</w:t>
            </w:r>
          </w:p>
        </w:tc>
        <w:tc>
          <w:tcPr>
            <w:tcW w:w="1276" w:type="dxa"/>
            <w:vAlign w:val="center"/>
          </w:tcPr>
          <w:p w14:paraId="71B3CA69" w14:textId="2B98206F" w:rsidR="00E464D1" w:rsidRPr="00E95228" w:rsidRDefault="000902FA"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w:t>
            </w:r>
            <w:r>
              <w:rPr>
                <w:rFonts w:ascii="Times New Roman" w:hAnsi="Times New Roman" w:cs="Times New Roman"/>
                <w:sz w:val="20"/>
                <w:szCs w:val="20"/>
              </w:rPr>
              <w:t>SJ</w:t>
            </w:r>
            <w:r w:rsidRPr="0013244A">
              <w:rPr>
                <w:rFonts w:ascii="Times New Roman" w:hAnsi="Times New Roman" w:cs="Times New Roman"/>
                <w:sz w:val="20"/>
                <w:szCs w:val="20"/>
              </w:rPr>
              <w:t xml:space="preserve"> de </w:t>
            </w:r>
            <w:r w:rsidR="00E464D1" w:rsidRPr="0013244A">
              <w:rPr>
                <w:rFonts w:ascii="Times New Roman" w:hAnsi="Times New Roman" w:cs="Times New Roman"/>
                <w:sz w:val="20"/>
                <w:szCs w:val="20"/>
              </w:rPr>
              <w:t>Unaí</w:t>
            </w:r>
          </w:p>
        </w:tc>
      </w:tr>
      <w:tr w:rsidR="00E464D1" w:rsidRPr="00E95228" w14:paraId="00060388" w14:textId="77777777" w:rsidTr="006763F2">
        <w:trPr>
          <w:jc w:val="center"/>
        </w:trPr>
        <w:tc>
          <w:tcPr>
            <w:tcW w:w="500" w:type="dxa"/>
            <w:vMerge/>
            <w:vAlign w:val="center"/>
          </w:tcPr>
          <w:p w14:paraId="38EA0EC4" w14:textId="77777777" w:rsidR="00E464D1" w:rsidRDefault="00E464D1" w:rsidP="00AD2751">
            <w:pPr>
              <w:spacing w:line="276" w:lineRule="auto"/>
              <w:ind w:firstLine="0"/>
              <w:jc w:val="center"/>
              <w:rPr>
                <w:rFonts w:ascii="Times New Roman" w:eastAsia="Times New Roman" w:hAnsi="Times New Roman" w:cs="Times New Roman"/>
                <w:sz w:val="20"/>
                <w:szCs w:val="20"/>
                <w:lang w:eastAsia="pt-BR"/>
              </w:rPr>
            </w:pPr>
          </w:p>
        </w:tc>
        <w:tc>
          <w:tcPr>
            <w:tcW w:w="2047" w:type="dxa"/>
            <w:vAlign w:val="center"/>
          </w:tcPr>
          <w:p w14:paraId="06453951" w14:textId="4FFB7A70" w:rsidR="00E464D1" w:rsidRPr="00E95228" w:rsidRDefault="00E464D1"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0000087-29.2025.4.06.8001</w:t>
            </w:r>
          </w:p>
        </w:tc>
        <w:tc>
          <w:tcPr>
            <w:tcW w:w="1843" w:type="dxa"/>
          </w:tcPr>
          <w:p w14:paraId="28B4902D" w14:textId="6CB207C7" w:rsidR="00E464D1" w:rsidRPr="00E95228" w:rsidRDefault="00E464D1" w:rsidP="00AD2751">
            <w:pPr>
              <w:spacing w:line="276" w:lineRule="auto"/>
              <w:ind w:firstLine="0"/>
              <w:jc w:val="both"/>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0008239-66.2025.4.06.8001</w:t>
            </w:r>
          </w:p>
        </w:tc>
        <w:tc>
          <w:tcPr>
            <w:tcW w:w="1417" w:type="dxa"/>
            <w:vAlign w:val="center"/>
          </w:tcPr>
          <w:p w14:paraId="320BC738" w14:textId="5285350A" w:rsidR="00E464D1" w:rsidRPr="00E95228" w:rsidRDefault="00E464D1"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8.880,00</w:t>
            </w:r>
          </w:p>
        </w:tc>
        <w:tc>
          <w:tcPr>
            <w:tcW w:w="1843" w:type="dxa"/>
            <w:vAlign w:val="center"/>
          </w:tcPr>
          <w:p w14:paraId="08E68404" w14:textId="6BFF2463" w:rsidR="00E464D1" w:rsidRPr="00E95228" w:rsidRDefault="00E464D1"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Inexigibilidade de Licitação nº 35/2025</w:t>
            </w:r>
          </w:p>
        </w:tc>
        <w:tc>
          <w:tcPr>
            <w:tcW w:w="992" w:type="dxa"/>
            <w:vAlign w:val="center"/>
          </w:tcPr>
          <w:p w14:paraId="0E634AAC" w14:textId="233DE54F" w:rsidR="00E464D1" w:rsidRPr="00E95228" w:rsidRDefault="00E464D1"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054/2025</w:t>
            </w:r>
          </w:p>
        </w:tc>
        <w:tc>
          <w:tcPr>
            <w:tcW w:w="1276" w:type="dxa"/>
            <w:vAlign w:val="center"/>
          </w:tcPr>
          <w:p w14:paraId="12346B53" w14:textId="47FCE28E" w:rsidR="00E464D1" w:rsidRPr="00E95228" w:rsidRDefault="000902FA"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w:t>
            </w:r>
            <w:r>
              <w:rPr>
                <w:rFonts w:ascii="Times New Roman" w:hAnsi="Times New Roman" w:cs="Times New Roman"/>
                <w:sz w:val="20"/>
                <w:szCs w:val="20"/>
              </w:rPr>
              <w:t>SJ</w:t>
            </w:r>
            <w:r w:rsidRPr="0013244A">
              <w:rPr>
                <w:rFonts w:ascii="Times New Roman" w:hAnsi="Times New Roman" w:cs="Times New Roman"/>
                <w:sz w:val="20"/>
                <w:szCs w:val="20"/>
              </w:rPr>
              <w:t xml:space="preserve"> de</w:t>
            </w:r>
            <w:r w:rsidR="00E464D1" w:rsidRPr="0013244A">
              <w:rPr>
                <w:rFonts w:ascii="Times New Roman" w:hAnsi="Times New Roman" w:cs="Times New Roman"/>
                <w:sz w:val="20"/>
                <w:szCs w:val="20"/>
              </w:rPr>
              <w:t xml:space="preserve"> Unaí</w:t>
            </w:r>
          </w:p>
        </w:tc>
      </w:tr>
      <w:tr w:rsidR="00E464D1" w:rsidRPr="00E95228" w14:paraId="4B801EE6" w14:textId="77777777" w:rsidTr="006763F2">
        <w:trPr>
          <w:jc w:val="center"/>
        </w:trPr>
        <w:tc>
          <w:tcPr>
            <w:tcW w:w="500" w:type="dxa"/>
            <w:vAlign w:val="center"/>
          </w:tcPr>
          <w:p w14:paraId="5F3F061A" w14:textId="57127A8A" w:rsidR="00E464D1" w:rsidRDefault="00E464D1" w:rsidP="00AD2751">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2047" w:type="dxa"/>
            <w:vAlign w:val="center"/>
          </w:tcPr>
          <w:p w14:paraId="0FDA0F9B" w14:textId="58F6B3E0" w:rsidR="00E464D1" w:rsidRPr="00E95228" w:rsidRDefault="000902FA"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0002111-30.2025.4.06.8001</w:t>
            </w:r>
          </w:p>
        </w:tc>
        <w:tc>
          <w:tcPr>
            <w:tcW w:w="1843" w:type="dxa"/>
            <w:vAlign w:val="center"/>
          </w:tcPr>
          <w:p w14:paraId="3B955FF6" w14:textId="334BDC02" w:rsidR="00E464D1" w:rsidRPr="00E95228" w:rsidRDefault="000902FA" w:rsidP="000902FA">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Não tem ainda</w:t>
            </w:r>
          </w:p>
        </w:tc>
        <w:tc>
          <w:tcPr>
            <w:tcW w:w="1417" w:type="dxa"/>
            <w:vAlign w:val="center"/>
          </w:tcPr>
          <w:p w14:paraId="6C8F321D" w14:textId="42D95578" w:rsidR="00E464D1" w:rsidRPr="00E95228" w:rsidRDefault="000902FA"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8.400,00</w:t>
            </w:r>
          </w:p>
        </w:tc>
        <w:tc>
          <w:tcPr>
            <w:tcW w:w="1843" w:type="dxa"/>
            <w:vAlign w:val="center"/>
          </w:tcPr>
          <w:p w14:paraId="4C8262E4" w14:textId="076C408C" w:rsidR="00E464D1" w:rsidRPr="00E95228" w:rsidRDefault="000902FA"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Inexigibilidade de licitação nº 028/2025</w:t>
            </w:r>
          </w:p>
        </w:tc>
        <w:tc>
          <w:tcPr>
            <w:tcW w:w="992" w:type="dxa"/>
            <w:vAlign w:val="center"/>
          </w:tcPr>
          <w:p w14:paraId="4118B572" w14:textId="0616F3AC" w:rsidR="00E464D1" w:rsidRPr="00E95228" w:rsidRDefault="000902FA"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043/2025</w:t>
            </w:r>
          </w:p>
        </w:tc>
        <w:tc>
          <w:tcPr>
            <w:tcW w:w="1276" w:type="dxa"/>
            <w:vAlign w:val="center"/>
          </w:tcPr>
          <w:p w14:paraId="6BF5B07A" w14:textId="29FB38A6" w:rsidR="00E464D1" w:rsidRPr="00E95228" w:rsidRDefault="000902FA"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w:t>
            </w:r>
            <w:r>
              <w:rPr>
                <w:rFonts w:ascii="Times New Roman" w:hAnsi="Times New Roman" w:cs="Times New Roman"/>
                <w:sz w:val="20"/>
                <w:szCs w:val="20"/>
              </w:rPr>
              <w:t>SJ</w:t>
            </w:r>
            <w:r w:rsidRPr="0013244A">
              <w:rPr>
                <w:rFonts w:ascii="Times New Roman" w:hAnsi="Times New Roman" w:cs="Times New Roman"/>
                <w:sz w:val="20"/>
                <w:szCs w:val="20"/>
              </w:rPr>
              <w:t xml:space="preserve"> de Varginha</w:t>
            </w:r>
          </w:p>
        </w:tc>
      </w:tr>
      <w:tr w:rsidR="00E464D1" w:rsidRPr="00E95228" w14:paraId="00DBA642" w14:textId="77777777" w:rsidTr="00B7185F">
        <w:trPr>
          <w:jc w:val="center"/>
        </w:trPr>
        <w:tc>
          <w:tcPr>
            <w:tcW w:w="500" w:type="dxa"/>
            <w:vAlign w:val="center"/>
          </w:tcPr>
          <w:p w14:paraId="3BE05CCB" w14:textId="3943C6EB" w:rsidR="00E464D1" w:rsidRDefault="006763F2" w:rsidP="00AD2751">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2047" w:type="dxa"/>
            <w:vAlign w:val="center"/>
          </w:tcPr>
          <w:p w14:paraId="2954A526" w14:textId="12F81254" w:rsidR="00E464D1" w:rsidRPr="00E95228" w:rsidRDefault="000902FA"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0001955-98.2021.4.01.8008</w:t>
            </w:r>
          </w:p>
        </w:tc>
        <w:tc>
          <w:tcPr>
            <w:tcW w:w="1843" w:type="dxa"/>
            <w:vAlign w:val="center"/>
          </w:tcPr>
          <w:p w14:paraId="2F506EA2" w14:textId="67E13753" w:rsidR="00E464D1" w:rsidRPr="00E95228" w:rsidRDefault="000902FA" w:rsidP="00B7185F">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0000218-04.2025.4.06.8001</w:t>
            </w:r>
          </w:p>
        </w:tc>
        <w:tc>
          <w:tcPr>
            <w:tcW w:w="1417" w:type="dxa"/>
            <w:vAlign w:val="center"/>
          </w:tcPr>
          <w:p w14:paraId="3BB10FCC" w14:textId="00B0B843" w:rsidR="00E464D1" w:rsidRPr="00E95228" w:rsidRDefault="000902FA"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14.400,00</w:t>
            </w:r>
          </w:p>
        </w:tc>
        <w:tc>
          <w:tcPr>
            <w:tcW w:w="1843" w:type="dxa"/>
            <w:vAlign w:val="center"/>
          </w:tcPr>
          <w:p w14:paraId="12B7E1E0" w14:textId="63200AC4" w:rsidR="00E464D1" w:rsidRPr="00E95228" w:rsidRDefault="000902FA"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Inexigibilidade de Licitação nº 1/2021</w:t>
            </w:r>
          </w:p>
        </w:tc>
        <w:tc>
          <w:tcPr>
            <w:tcW w:w="992" w:type="dxa"/>
            <w:vAlign w:val="center"/>
          </w:tcPr>
          <w:p w14:paraId="3360FCE8" w14:textId="63F2C1B5" w:rsidR="00E464D1" w:rsidRPr="00E95228" w:rsidRDefault="000902FA"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009/2021</w:t>
            </w:r>
          </w:p>
        </w:tc>
        <w:tc>
          <w:tcPr>
            <w:tcW w:w="1276" w:type="dxa"/>
            <w:vAlign w:val="center"/>
          </w:tcPr>
          <w:p w14:paraId="2AD32267" w14:textId="45A2BFDC" w:rsidR="00E464D1" w:rsidRPr="00E95228" w:rsidRDefault="000902FA"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w:t>
            </w:r>
            <w:r>
              <w:rPr>
                <w:rFonts w:ascii="Times New Roman" w:hAnsi="Times New Roman" w:cs="Times New Roman"/>
                <w:sz w:val="20"/>
                <w:szCs w:val="20"/>
              </w:rPr>
              <w:t>SJ</w:t>
            </w:r>
            <w:r w:rsidRPr="0013244A">
              <w:rPr>
                <w:rFonts w:ascii="Times New Roman" w:hAnsi="Times New Roman" w:cs="Times New Roman"/>
                <w:sz w:val="20"/>
                <w:szCs w:val="20"/>
              </w:rPr>
              <w:t xml:space="preserve"> de Passos</w:t>
            </w:r>
          </w:p>
        </w:tc>
      </w:tr>
      <w:tr w:rsidR="006763F2" w:rsidRPr="00E95228" w14:paraId="0A0825D9" w14:textId="77777777" w:rsidTr="00B7185F">
        <w:trPr>
          <w:jc w:val="center"/>
        </w:trPr>
        <w:tc>
          <w:tcPr>
            <w:tcW w:w="500" w:type="dxa"/>
            <w:vMerge w:val="restart"/>
            <w:vAlign w:val="center"/>
          </w:tcPr>
          <w:p w14:paraId="3ABB09C7" w14:textId="7832FE9C" w:rsidR="006763F2" w:rsidRDefault="006763F2" w:rsidP="00AD2751">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6</w:t>
            </w:r>
          </w:p>
        </w:tc>
        <w:tc>
          <w:tcPr>
            <w:tcW w:w="2047" w:type="dxa"/>
            <w:vAlign w:val="center"/>
          </w:tcPr>
          <w:p w14:paraId="3472E538" w14:textId="2C2BCA3D" w:rsidR="006763F2" w:rsidRPr="00E95228" w:rsidRDefault="006763F2"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0028870-24.2020.4.01.8008</w:t>
            </w:r>
          </w:p>
        </w:tc>
        <w:tc>
          <w:tcPr>
            <w:tcW w:w="1843" w:type="dxa"/>
            <w:vAlign w:val="center"/>
          </w:tcPr>
          <w:p w14:paraId="36D06B96" w14:textId="6E9DAD88" w:rsidR="006763F2" w:rsidRPr="00E95228" w:rsidRDefault="006763F2" w:rsidP="00B7185F">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0002081-92.2025.4.06.8001</w:t>
            </w:r>
          </w:p>
        </w:tc>
        <w:tc>
          <w:tcPr>
            <w:tcW w:w="1417" w:type="dxa"/>
            <w:vAlign w:val="center"/>
          </w:tcPr>
          <w:p w14:paraId="74BC35F3" w14:textId="0DC2EE27" w:rsidR="006763F2" w:rsidRPr="00E95228" w:rsidRDefault="006763F2"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14.400,00</w:t>
            </w:r>
          </w:p>
        </w:tc>
        <w:tc>
          <w:tcPr>
            <w:tcW w:w="1843" w:type="dxa"/>
            <w:vAlign w:val="center"/>
          </w:tcPr>
          <w:p w14:paraId="736EB106" w14:textId="0D6C223E" w:rsidR="006763F2" w:rsidRPr="00E95228" w:rsidRDefault="006763F2"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Inexigibilidade de Licitação nº 01/2020</w:t>
            </w:r>
          </w:p>
        </w:tc>
        <w:tc>
          <w:tcPr>
            <w:tcW w:w="992" w:type="dxa"/>
            <w:vAlign w:val="center"/>
          </w:tcPr>
          <w:p w14:paraId="788A15DB" w14:textId="047F19DB" w:rsidR="006763F2" w:rsidRPr="00E95228" w:rsidRDefault="006763F2" w:rsidP="00AD2751">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048/2020</w:t>
            </w:r>
          </w:p>
        </w:tc>
        <w:tc>
          <w:tcPr>
            <w:tcW w:w="1276" w:type="dxa"/>
            <w:vAlign w:val="center"/>
          </w:tcPr>
          <w:p w14:paraId="64757B4D" w14:textId="03CE0897" w:rsidR="006763F2" w:rsidRPr="00E95228" w:rsidRDefault="006763F2"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w:t>
            </w:r>
            <w:r>
              <w:rPr>
                <w:rFonts w:ascii="Times New Roman" w:hAnsi="Times New Roman" w:cs="Times New Roman"/>
                <w:sz w:val="20"/>
                <w:szCs w:val="20"/>
              </w:rPr>
              <w:t>SJ</w:t>
            </w:r>
            <w:r w:rsidRPr="0013244A">
              <w:rPr>
                <w:rFonts w:ascii="Times New Roman" w:hAnsi="Times New Roman" w:cs="Times New Roman"/>
                <w:sz w:val="20"/>
                <w:szCs w:val="20"/>
              </w:rPr>
              <w:t xml:space="preserve"> de</w:t>
            </w:r>
            <w:r>
              <w:rPr>
                <w:rFonts w:ascii="Times New Roman" w:hAnsi="Times New Roman" w:cs="Times New Roman"/>
                <w:sz w:val="20"/>
                <w:szCs w:val="20"/>
              </w:rPr>
              <w:t xml:space="preserve"> </w:t>
            </w:r>
            <w:r w:rsidRPr="0013244A">
              <w:rPr>
                <w:rFonts w:ascii="Times New Roman" w:hAnsi="Times New Roman" w:cs="Times New Roman"/>
                <w:sz w:val="20"/>
                <w:szCs w:val="20"/>
              </w:rPr>
              <w:t>Patos de Minas</w:t>
            </w:r>
          </w:p>
        </w:tc>
      </w:tr>
      <w:tr w:rsidR="006763F2" w:rsidRPr="00E95228" w14:paraId="18F837F3" w14:textId="77777777" w:rsidTr="006763F2">
        <w:trPr>
          <w:jc w:val="center"/>
        </w:trPr>
        <w:tc>
          <w:tcPr>
            <w:tcW w:w="500" w:type="dxa"/>
            <w:vMerge/>
            <w:vAlign w:val="center"/>
          </w:tcPr>
          <w:p w14:paraId="427FFEA6" w14:textId="77777777" w:rsidR="006763F2" w:rsidRDefault="006763F2" w:rsidP="00AD2751">
            <w:pPr>
              <w:spacing w:line="276" w:lineRule="auto"/>
              <w:ind w:firstLine="0"/>
              <w:jc w:val="center"/>
              <w:rPr>
                <w:rFonts w:ascii="Times New Roman" w:eastAsia="Times New Roman" w:hAnsi="Times New Roman" w:cs="Times New Roman"/>
                <w:sz w:val="20"/>
                <w:szCs w:val="20"/>
                <w:lang w:eastAsia="pt-BR"/>
              </w:rPr>
            </w:pPr>
          </w:p>
        </w:tc>
        <w:tc>
          <w:tcPr>
            <w:tcW w:w="2047" w:type="dxa"/>
            <w:vAlign w:val="center"/>
          </w:tcPr>
          <w:p w14:paraId="4358EEAF" w14:textId="3D9B222A" w:rsidR="006763F2" w:rsidRPr="00E95228" w:rsidRDefault="006763F2" w:rsidP="000902FA">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0004296-41.2025.4.06.8001</w:t>
            </w:r>
          </w:p>
        </w:tc>
        <w:tc>
          <w:tcPr>
            <w:tcW w:w="6095" w:type="dxa"/>
            <w:gridSpan w:val="4"/>
            <w:vAlign w:val="center"/>
          </w:tcPr>
          <w:p w14:paraId="71C84AED" w14:textId="37A738EB" w:rsidR="006763F2" w:rsidRPr="00E95228" w:rsidRDefault="006763F2" w:rsidP="000902FA">
            <w:pPr>
              <w:spacing w:line="276" w:lineRule="auto"/>
              <w:ind w:firstLine="0"/>
              <w:jc w:val="center"/>
              <w:rPr>
                <w:rFonts w:ascii="Times New Roman" w:eastAsia="Times New Roman" w:hAnsi="Times New Roman" w:cs="Times New Roman"/>
                <w:sz w:val="20"/>
                <w:szCs w:val="20"/>
                <w:lang w:eastAsia="pt-BR"/>
              </w:rPr>
            </w:pPr>
            <w:r>
              <w:rPr>
                <w:rFonts w:ascii="Times New Roman" w:hAnsi="Times New Roman" w:cs="Times New Roman"/>
                <w:sz w:val="20"/>
                <w:szCs w:val="20"/>
              </w:rPr>
              <w:t>Novo</w:t>
            </w:r>
            <w:r w:rsidRPr="0013244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3244A">
              <w:rPr>
                <w:rFonts w:ascii="Times New Roman" w:hAnsi="Times New Roman" w:cs="Times New Roman"/>
                <w:sz w:val="20"/>
                <w:szCs w:val="20"/>
              </w:rPr>
              <w:t>contratação em andamento)</w:t>
            </w:r>
          </w:p>
        </w:tc>
        <w:tc>
          <w:tcPr>
            <w:tcW w:w="1276" w:type="dxa"/>
            <w:vAlign w:val="center"/>
          </w:tcPr>
          <w:p w14:paraId="2BEF5E0F" w14:textId="52664FF0" w:rsidR="006763F2" w:rsidRPr="00E95228" w:rsidRDefault="006763F2" w:rsidP="006763F2">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w:t>
            </w:r>
            <w:r>
              <w:rPr>
                <w:rFonts w:ascii="Times New Roman" w:hAnsi="Times New Roman" w:cs="Times New Roman"/>
                <w:sz w:val="20"/>
                <w:szCs w:val="20"/>
              </w:rPr>
              <w:t>SJ</w:t>
            </w:r>
            <w:r w:rsidRPr="0013244A">
              <w:rPr>
                <w:rFonts w:ascii="Times New Roman" w:hAnsi="Times New Roman" w:cs="Times New Roman"/>
                <w:sz w:val="20"/>
                <w:szCs w:val="20"/>
              </w:rPr>
              <w:t xml:space="preserve"> de </w:t>
            </w:r>
            <w:r>
              <w:rPr>
                <w:rFonts w:ascii="Times New Roman" w:hAnsi="Times New Roman" w:cs="Times New Roman"/>
                <w:sz w:val="20"/>
                <w:szCs w:val="20"/>
              </w:rPr>
              <w:t>P</w:t>
            </w:r>
            <w:r w:rsidRPr="0013244A">
              <w:rPr>
                <w:rFonts w:ascii="Times New Roman" w:hAnsi="Times New Roman" w:cs="Times New Roman"/>
                <w:sz w:val="20"/>
                <w:szCs w:val="20"/>
              </w:rPr>
              <w:t>atos de Minas</w:t>
            </w:r>
          </w:p>
        </w:tc>
      </w:tr>
      <w:tr w:rsidR="000902FA" w:rsidRPr="00E95228" w14:paraId="13A56395" w14:textId="77777777" w:rsidTr="006763F2">
        <w:trPr>
          <w:jc w:val="center"/>
        </w:trPr>
        <w:tc>
          <w:tcPr>
            <w:tcW w:w="500" w:type="dxa"/>
            <w:vAlign w:val="center"/>
          </w:tcPr>
          <w:p w14:paraId="5D3F6B7B" w14:textId="575E8D53" w:rsidR="000902FA" w:rsidRDefault="006763F2" w:rsidP="00AD2751">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7</w:t>
            </w:r>
          </w:p>
        </w:tc>
        <w:tc>
          <w:tcPr>
            <w:tcW w:w="2047" w:type="dxa"/>
            <w:vAlign w:val="center"/>
          </w:tcPr>
          <w:p w14:paraId="650B3A1A" w14:textId="0CB59BE8" w:rsidR="000902FA" w:rsidRDefault="000902FA" w:rsidP="00AD2751">
            <w:pPr>
              <w:spacing w:line="276" w:lineRule="auto"/>
              <w:ind w:firstLine="0"/>
              <w:jc w:val="center"/>
            </w:pPr>
            <w:r w:rsidRPr="00B7185F">
              <w:rPr>
                <w:rFonts w:ascii="Times New Roman" w:hAnsi="Times New Roman" w:cs="Times New Roman"/>
                <w:sz w:val="20"/>
                <w:szCs w:val="20"/>
              </w:rPr>
              <w:t>0018622-74.2023.4.06.8001</w:t>
            </w:r>
          </w:p>
        </w:tc>
        <w:tc>
          <w:tcPr>
            <w:tcW w:w="1843" w:type="dxa"/>
          </w:tcPr>
          <w:p w14:paraId="19EE861E" w14:textId="38B08251" w:rsidR="000902FA" w:rsidRDefault="000902FA" w:rsidP="00AD2751">
            <w:pPr>
              <w:spacing w:line="276" w:lineRule="auto"/>
              <w:ind w:firstLine="0"/>
              <w:jc w:val="center"/>
              <w:rPr>
                <w:rFonts w:ascii="Times New Roman" w:hAnsi="Times New Roman" w:cs="Times New Roman"/>
                <w:sz w:val="20"/>
                <w:szCs w:val="20"/>
              </w:rPr>
            </w:pPr>
            <w:r w:rsidRPr="00B7185F">
              <w:rPr>
                <w:rFonts w:ascii="Times New Roman" w:hAnsi="Times New Roman" w:cs="Times New Roman"/>
                <w:sz w:val="20"/>
                <w:szCs w:val="20"/>
              </w:rPr>
              <w:t>0001288-56.2025.4.06.8001</w:t>
            </w:r>
          </w:p>
        </w:tc>
        <w:tc>
          <w:tcPr>
            <w:tcW w:w="1417" w:type="dxa"/>
            <w:vAlign w:val="center"/>
          </w:tcPr>
          <w:p w14:paraId="6E9BF474" w14:textId="3DA2788C" w:rsidR="000902FA" w:rsidRDefault="000902FA" w:rsidP="006763F2">
            <w:pPr>
              <w:spacing w:line="276" w:lineRule="auto"/>
              <w:ind w:firstLine="0"/>
              <w:jc w:val="right"/>
              <w:rPr>
                <w:rFonts w:ascii="Times New Roman" w:hAnsi="Times New Roman" w:cs="Times New Roman"/>
                <w:sz w:val="20"/>
                <w:szCs w:val="20"/>
              </w:rPr>
            </w:pPr>
            <w:r w:rsidRPr="0013244A">
              <w:rPr>
                <w:rFonts w:ascii="Times New Roman" w:hAnsi="Times New Roman" w:cs="Times New Roman"/>
                <w:sz w:val="20"/>
                <w:szCs w:val="20"/>
              </w:rPr>
              <w:t>15.351,96</w:t>
            </w:r>
          </w:p>
        </w:tc>
        <w:tc>
          <w:tcPr>
            <w:tcW w:w="1843" w:type="dxa"/>
            <w:vAlign w:val="center"/>
          </w:tcPr>
          <w:p w14:paraId="6FFDF1E3" w14:textId="5E0F8071" w:rsidR="000902FA" w:rsidRDefault="000902FA" w:rsidP="006763F2">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Pregão Eletrônico nº 33/2021</w:t>
            </w:r>
          </w:p>
        </w:tc>
        <w:tc>
          <w:tcPr>
            <w:tcW w:w="992" w:type="dxa"/>
            <w:vAlign w:val="center"/>
          </w:tcPr>
          <w:p w14:paraId="7AC0F147" w14:textId="2FBE0C1C" w:rsidR="000902FA" w:rsidRDefault="000902FA" w:rsidP="006763F2">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055/2021</w:t>
            </w:r>
          </w:p>
        </w:tc>
        <w:tc>
          <w:tcPr>
            <w:tcW w:w="1276" w:type="dxa"/>
            <w:vAlign w:val="center"/>
          </w:tcPr>
          <w:p w14:paraId="56F517F8" w14:textId="339E1DF9" w:rsidR="000902FA" w:rsidRPr="0013244A" w:rsidRDefault="000902FA" w:rsidP="006763F2">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S</w:t>
            </w:r>
            <w:r>
              <w:rPr>
                <w:rFonts w:ascii="Times New Roman" w:hAnsi="Times New Roman" w:cs="Times New Roman"/>
                <w:sz w:val="20"/>
                <w:szCs w:val="20"/>
              </w:rPr>
              <w:t>SJ</w:t>
            </w:r>
            <w:r w:rsidRPr="0013244A">
              <w:rPr>
                <w:rFonts w:ascii="Times New Roman" w:hAnsi="Times New Roman" w:cs="Times New Roman"/>
                <w:sz w:val="20"/>
                <w:szCs w:val="20"/>
              </w:rPr>
              <w:t xml:space="preserve"> de Juiz de Fora</w:t>
            </w:r>
          </w:p>
        </w:tc>
      </w:tr>
    </w:tbl>
    <w:p w14:paraId="755C382C" w14:textId="77777777" w:rsidR="00393583" w:rsidRPr="001155D2" w:rsidRDefault="00393583" w:rsidP="00393583">
      <w:pPr>
        <w:spacing w:line="276" w:lineRule="auto"/>
        <w:ind w:firstLine="0"/>
        <w:jc w:val="both"/>
        <w:rPr>
          <w:rFonts w:ascii="Times New Roman" w:hAnsi="Times New Roman" w:cs="Times New Roman"/>
          <w:sz w:val="20"/>
          <w:szCs w:val="20"/>
        </w:rPr>
      </w:pPr>
      <w:r w:rsidRPr="001155D2">
        <w:rPr>
          <w:rFonts w:ascii="Times New Roman" w:hAnsi="Times New Roman" w:cs="Times New Roman"/>
          <w:sz w:val="20"/>
          <w:szCs w:val="20"/>
        </w:rPr>
        <w:t>Fonte: Elaborado pela equipe de auditoria</w:t>
      </w:r>
    </w:p>
    <w:p w14:paraId="045983B0" w14:textId="241B18E3" w:rsidR="005B4101" w:rsidRPr="0013244A" w:rsidRDefault="005B4101" w:rsidP="00FF6678">
      <w:pPr>
        <w:pStyle w:val="NormalWeb"/>
        <w:spacing w:before="240" w:beforeAutospacing="0" w:after="0" w:afterAutospacing="0"/>
        <w:ind w:right="108" w:firstLine="708"/>
        <w:jc w:val="both"/>
      </w:pPr>
      <w:r w:rsidRPr="0013244A">
        <w:t>No Relatório Final da Auditoria constaram 13 (treze) recomendações classificadas como "Não implementadas", 15 (quinze) recomendações classificadas como "Em Implementação" e 2 (duas) recomendações "Adicionadas". No Monitoramento, o NUAUG/SECAU verificou a regularização de todas as recomendações.</w:t>
      </w:r>
    </w:p>
    <w:p w14:paraId="791DA983" w14:textId="77777777" w:rsidR="005B4101" w:rsidRPr="0013244A" w:rsidRDefault="005B4101" w:rsidP="00FF6678">
      <w:pPr>
        <w:pStyle w:val="NormalWeb"/>
        <w:spacing w:before="240" w:beforeAutospacing="0" w:after="0" w:afterAutospacing="0"/>
        <w:ind w:right="108" w:firstLine="708"/>
        <w:jc w:val="both"/>
      </w:pPr>
      <w:r w:rsidRPr="0013244A">
        <w:t xml:space="preserve">Além da análise dos processos da amostra, com o objetivo de avaliar a implementação das recomendações que envolveram ações de formação, como cursos e treinamentos; de aprimoramento dos controles internos, como elaboração de modelos e checklists; e de disponibilização de auxílio técnico especializado na gestão das contratações, o questionário (id. 1397231) foi encaminhado para todas as unidades auditadas para que elas se pronunciassem a respeito das ações realizadas. As respostas das auditadas podem ser consultadas no processo da Solicitação de Auditoria – </w:t>
      </w:r>
      <w:proofErr w:type="spellStart"/>
      <w:r w:rsidRPr="0013244A">
        <w:t>Pae</w:t>
      </w:r>
      <w:proofErr w:type="spellEnd"/>
      <w:r w:rsidRPr="0013244A">
        <w:t>. Sei 0012170-80.2025.4.06.8000.</w:t>
      </w:r>
    </w:p>
    <w:p w14:paraId="01FCF7BC" w14:textId="77777777" w:rsidR="005B4101" w:rsidRPr="004037B6" w:rsidRDefault="005B4101" w:rsidP="00FF6678">
      <w:pPr>
        <w:pStyle w:val="NormalWeb"/>
        <w:spacing w:before="240" w:beforeAutospacing="0" w:after="0" w:afterAutospacing="0"/>
        <w:ind w:right="108" w:firstLine="708"/>
        <w:jc w:val="both"/>
      </w:pPr>
      <w:r w:rsidRPr="00FF6678">
        <w:t> </w:t>
      </w:r>
      <w:r w:rsidRPr="004037B6">
        <w:t>O monitoramento das recomendações expedidas no Relatório Final da Auditoria de Conformidade na Execução e nos Pagamentos das Contratações Terceirizadas de Serviços de Manutenção de Elevadores, vigente no ano de 2024, no âmbito do TRF6, da SJMG e das Subseções Judiciárias (id. </w:t>
      </w:r>
      <w:hyperlink r:id="rId76" w:tgtFrame="_blank" w:history="1">
        <w:r w:rsidRPr="00FF6678">
          <w:t>0866703</w:t>
        </w:r>
      </w:hyperlink>
      <w:r w:rsidRPr="004037B6">
        <w:t xml:space="preserve">), evidenciou avanços relevantes na implementação de medidas corretivas pelas unidades auditadas. Destacam-se melhorias na padronização dos </w:t>
      </w:r>
      <w:r w:rsidRPr="004037B6">
        <w:lastRenderedPageBreak/>
        <w:t>documentos de contratação, na incorporação de requisitos de sustentabilidade e no desenvolvimento de ferramentas de controle interno.</w:t>
      </w:r>
    </w:p>
    <w:p w14:paraId="60B8A590" w14:textId="77777777" w:rsidR="005B4101" w:rsidRPr="00FA322C" w:rsidRDefault="005B4101" w:rsidP="00FF6678">
      <w:pPr>
        <w:pStyle w:val="NormalWeb"/>
        <w:spacing w:before="240" w:beforeAutospacing="0" w:after="0" w:afterAutospacing="0"/>
        <w:ind w:right="108" w:firstLine="708"/>
        <w:jc w:val="both"/>
      </w:pPr>
      <w:r w:rsidRPr="00FA322C">
        <w:t>Apesar dos progressos, persistem desafios importantes, especialmente no que se refere à qualificação técnica dos servidores responsáveis pela gestão e pela fiscalização dos contratos, à adoção de mecanismos objetivos de avaliação dos serviços prestados e à efetiva gestão dos riscos contratuais.</w:t>
      </w:r>
    </w:p>
    <w:p w14:paraId="26B45CFC" w14:textId="77777777" w:rsidR="005B4101" w:rsidRPr="0013244A" w:rsidRDefault="005B4101" w:rsidP="00FF6678">
      <w:pPr>
        <w:ind w:firstLine="1134"/>
        <w:jc w:val="both"/>
        <w:rPr>
          <w:rFonts w:ascii="Times New Roman" w:hAnsi="Times New Roman" w:cs="Times New Roman"/>
          <w:b/>
          <w:bCs/>
        </w:rPr>
      </w:pPr>
    </w:p>
    <w:p w14:paraId="705FE797" w14:textId="767EA52D" w:rsidR="005B4101" w:rsidRPr="00FF6678" w:rsidRDefault="00691F19" w:rsidP="00FF6678">
      <w:pPr>
        <w:pStyle w:val="NormalWeb"/>
        <w:spacing w:before="240" w:beforeAutospacing="0" w:after="0" w:afterAutospacing="0"/>
        <w:ind w:right="108" w:firstLine="0"/>
        <w:jc w:val="both"/>
        <w:rPr>
          <w:b/>
          <w:bCs/>
        </w:rPr>
      </w:pPr>
      <w:r>
        <w:rPr>
          <w:b/>
          <w:bCs/>
        </w:rPr>
        <w:t>f</w:t>
      </w:r>
      <w:r w:rsidR="005B4101" w:rsidRPr="00FF6678">
        <w:rPr>
          <w:b/>
          <w:bCs/>
        </w:rPr>
        <w:t>.</w:t>
      </w:r>
      <w:r>
        <w:rPr>
          <w:b/>
          <w:bCs/>
        </w:rPr>
        <w:t>3</w:t>
      </w:r>
      <w:r w:rsidR="005B4101" w:rsidRPr="00FF6678">
        <w:rPr>
          <w:b/>
          <w:bCs/>
        </w:rPr>
        <w:t xml:space="preserve"> – Auditoria de Conformidade em Contratos de Serviços de Terceirização em Regime de Dedicação Exclusiva de Mão de Obra, licitados ou em vigor durante o ano de 2025, no âmbito do TRF6, da SJMG e das Subseções Judiciárias, com Foco nos Pagamentos</w:t>
      </w:r>
    </w:p>
    <w:p w14:paraId="6D5F21DF" w14:textId="4631B063" w:rsidR="006F4C20" w:rsidRDefault="005B4101" w:rsidP="006F4C20">
      <w:pPr>
        <w:pStyle w:val="NormalWeb"/>
        <w:spacing w:before="240" w:beforeAutospacing="0" w:after="0" w:afterAutospacing="0"/>
        <w:ind w:right="108" w:firstLine="708"/>
        <w:jc w:val="both"/>
      </w:pPr>
      <w:r w:rsidRPr="00FF6678">
        <w:t xml:space="preserve">Neste trabalho buscou-se avaliar a regularidade das contratações selecionados, com base em relevância, risco e materialidade e verificar a observância dos parâmetros indicados no capítulo “Das contratações”, </w:t>
      </w:r>
      <w:proofErr w:type="spellStart"/>
      <w:r w:rsidRPr="00FF6678">
        <w:t>arts</w:t>
      </w:r>
      <w:proofErr w:type="spellEnd"/>
      <w:r w:rsidRPr="00FF6678">
        <w:t>. 10 e 11, da </w:t>
      </w:r>
      <w:hyperlink r:id="rId77" w:tgtFrame="_blank" w:history="1">
        <w:r w:rsidR="00EC54C1" w:rsidRPr="00EC54C1">
          <w:rPr>
            <w:rStyle w:val="Hyperlink"/>
          </w:rPr>
          <w:t>Resolução CJF nº 709/2021</w:t>
        </w:r>
      </w:hyperlink>
      <w:r w:rsidRPr="00FF6678">
        <w:t>, que dispõe sobre a Política de Sustentabilidade da Justiça Federal.</w:t>
      </w:r>
    </w:p>
    <w:p w14:paraId="21FA75FE" w14:textId="7B079800" w:rsidR="005B4101" w:rsidRDefault="005B4101" w:rsidP="006F4C20">
      <w:pPr>
        <w:pStyle w:val="NormalWeb"/>
        <w:spacing w:before="240" w:beforeAutospacing="0" w:after="0" w:afterAutospacing="0"/>
        <w:ind w:right="108" w:firstLine="708"/>
        <w:jc w:val="both"/>
      </w:pPr>
      <w:r w:rsidRPr="00FF6678">
        <w:t>Para determinação da amostra das contratações, foi consultada a “Planilha de Controle dos Contratos” referente ao mês de outubro/2025, disponibilizada pela Subsecretaria de Licitações e Contratos – SULIC no aplicativo Microsoft Teams, na data de 06 de outubro de 2025. A amostra das contratações foi selecionada pelo método não-estatístico, considerando-se os critérios de relevância, risco e materialidade.</w:t>
      </w:r>
    </w:p>
    <w:p w14:paraId="184FF173" w14:textId="77777777" w:rsidR="00474185" w:rsidRDefault="00474185" w:rsidP="006F4C20">
      <w:pPr>
        <w:spacing w:line="276" w:lineRule="auto"/>
        <w:ind w:firstLine="0"/>
        <w:jc w:val="both"/>
        <w:rPr>
          <w:rFonts w:ascii="Times New Roman" w:hAnsi="Times New Roman" w:cs="Times New Roman"/>
          <w:b/>
          <w:bCs/>
          <w:sz w:val="20"/>
          <w:szCs w:val="20"/>
          <w:highlight w:val="yellow"/>
        </w:rPr>
      </w:pPr>
    </w:p>
    <w:p w14:paraId="208D56F6" w14:textId="58D3B2FF" w:rsidR="005B4101" w:rsidRDefault="005B4101" w:rsidP="00474185">
      <w:pPr>
        <w:spacing w:line="276" w:lineRule="auto"/>
        <w:ind w:firstLine="0"/>
        <w:jc w:val="center"/>
        <w:rPr>
          <w:rFonts w:ascii="Times New Roman" w:hAnsi="Times New Roman" w:cs="Times New Roman"/>
          <w:b/>
          <w:bCs/>
          <w:sz w:val="20"/>
          <w:szCs w:val="20"/>
        </w:rPr>
      </w:pPr>
      <w:r w:rsidRPr="004A65DB">
        <w:rPr>
          <w:rFonts w:ascii="Times New Roman" w:hAnsi="Times New Roman" w:cs="Times New Roman"/>
          <w:b/>
          <w:bCs/>
          <w:sz w:val="20"/>
          <w:szCs w:val="20"/>
        </w:rPr>
        <w:t xml:space="preserve">Quadro </w:t>
      </w:r>
      <w:r w:rsidR="00102AC8">
        <w:rPr>
          <w:rFonts w:ascii="Times New Roman" w:hAnsi="Times New Roman" w:cs="Times New Roman"/>
          <w:b/>
          <w:bCs/>
          <w:sz w:val="20"/>
          <w:szCs w:val="20"/>
        </w:rPr>
        <w:t>10</w:t>
      </w:r>
      <w:r w:rsidR="00474185">
        <w:rPr>
          <w:rFonts w:ascii="Times New Roman" w:hAnsi="Times New Roman" w:cs="Times New Roman"/>
          <w:b/>
          <w:bCs/>
          <w:sz w:val="20"/>
          <w:szCs w:val="20"/>
        </w:rPr>
        <w:t xml:space="preserve"> - </w:t>
      </w:r>
      <w:r w:rsidRPr="006F4C20">
        <w:rPr>
          <w:rFonts w:ascii="Times New Roman" w:hAnsi="Times New Roman" w:cs="Times New Roman"/>
          <w:b/>
          <w:bCs/>
          <w:sz w:val="20"/>
          <w:szCs w:val="20"/>
        </w:rPr>
        <w:t>Processos selecionados - Serviços Terceirizados com Dedicação Exclusiva de Mão de Obra, Foco no Pagamento</w:t>
      </w:r>
    </w:p>
    <w:tbl>
      <w:tblPr>
        <w:tblStyle w:val="Tabelacomgrade"/>
        <w:tblW w:w="9918" w:type="dxa"/>
        <w:jc w:val="center"/>
        <w:tblLayout w:type="fixed"/>
        <w:tblLook w:val="04A0" w:firstRow="1" w:lastRow="0" w:firstColumn="1" w:lastColumn="0" w:noHBand="0" w:noVBand="1"/>
      </w:tblPr>
      <w:tblGrid>
        <w:gridCol w:w="500"/>
        <w:gridCol w:w="1905"/>
        <w:gridCol w:w="2268"/>
        <w:gridCol w:w="1418"/>
        <w:gridCol w:w="1559"/>
        <w:gridCol w:w="1134"/>
        <w:gridCol w:w="1134"/>
      </w:tblGrid>
      <w:tr w:rsidR="009B0AA3" w:rsidRPr="00E95228" w14:paraId="267100CE" w14:textId="77777777" w:rsidTr="009B0AA3">
        <w:trPr>
          <w:jc w:val="center"/>
        </w:trPr>
        <w:tc>
          <w:tcPr>
            <w:tcW w:w="500" w:type="dxa"/>
            <w:shd w:val="clear" w:color="auto" w:fill="D9D9D9" w:themeFill="background1" w:themeFillShade="D9"/>
            <w:vAlign w:val="center"/>
          </w:tcPr>
          <w:p w14:paraId="1DE77812" w14:textId="77777777" w:rsidR="009B0AA3" w:rsidRPr="00E95228" w:rsidRDefault="009B0AA3" w:rsidP="009B0AA3">
            <w:pPr>
              <w:spacing w:line="276" w:lineRule="auto"/>
              <w:ind w:firstLine="0"/>
              <w:jc w:val="center"/>
              <w:rPr>
                <w:rFonts w:ascii="Times New Roman" w:eastAsia="Times New Roman" w:hAnsi="Times New Roman" w:cs="Times New Roman"/>
                <w:b/>
                <w:bCs/>
                <w:sz w:val="20"/>
                <w:szCs w:val="20"/>
                <w:lang w:eastAsia="pt-BR"/>
              </w:rPr>
            </w:pPr>
            <w:r w:rsidRPr="00E95228">
              <w:rPr>
                <w:rFonts w:ascii="Times New Roman" w:eastAsia="Times New Roman" w:hAnsi="Times New Roman" w:cs="Times New Roman"/>
                <w:b/>
                <w:bCs/>
                <w:sz w:val="20"/>
                <w:szCs w:val="20"/>
                <w:lang w:eastAsia="pt-BR"/>
              </w:rPr>
              <w:t>Nº.</w:t>
            </w:r>
          </w:p>
        </w:tc>
        <w:tc>
          <w:tcPr>
            <w:tcW w:w="1905" w:type="dxa"/>
            <w:shd w:val="clear" w:color="auto" w:fill="D9D9D9" w:themeFill="background1" w:themeFillShade="D9"/>
            <w:vAlign w:val="center"/>
          </w:tcPr>
          <w:p w14:paraId="53F61278" w14:textId="77777777" w:rsidR="009B0AA3" w:rsidRPr="00E95228" w:rsidRDefault="009B0AA3" w:rsidP="009B0AA3">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Processo SEI</w:t>
            </w:r>
          </w:p>
        </w:tc>
        <w:tc>
          <w:tcPr>
            <w:tcW w:w="2268" w:type="dxa"/>
            <w:shd w:val="clear" w:color="auto" w:fill="D9D9D9" w:themeFill="background1" w:themeFillShade="D9"/>
            <w:vAlign w:val="center"/>
          </w:tcPr>
          <w:p w14:paraId="222F6DD2" w14:textId="40DCF73C" w:rsidR="009B0AA3" w:rsidRPr="00E95228" w:rsidRDefault="009B0AA3" w:rsidP="009B0AA3">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Objeto</w:t>
            </w:r>
          </w:p>
        </w:tc>
        <w:tc>
          <w:tcPr>
            <w:tcW w:w="1418" w:type="dxa"/>
            <w:shd w:val="clear" w:color="auto" w:fill="D9D9D9" w:themeFill="background1" w:themeFillShade="D9"/>
            <w:vAlign w:val="center"/>
          </w:tcPr>
          <w:p w14:paraId="1094DE2B" w14:textId="5523FE86" w:rsidR="009B0AA3" w:rsidRPr="00E95228" w:rsidRDefault="009B0AA3" w:rsidP="009B0AA3">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Valor</w:t>
            </w:r>
          </w:p>
        </w:tc>
        <w:tc>
          <w:tcPr>
            <w:tcW w:w="1559" w:type="dxa"/>
            <w:shd w:val="clear" w:color="auto" w:fill="D9D9D9" w:themeFill="background1" w:themeFillShade="D9"/>
            <w:vAlign w:val="center"/>
          </w:tcPr>
          <w:p w14:paraId="3A1BD909" w14:textId="77777777" w:rsidR="009B0AA3" w:rsidRPr="00E95228" w:rsidRDefault="009B0AA3" w:rsidP="009B0AA3">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Mod. Licitatória</w:t>
            </w:r>
          </w:p>
        </w:tc>
        <w:tc>
          <w:tcPr>
            <w:tcW w:w="1134" w:type="dxa"/>
            <w:shd w:val="clear" w:color="auto" w:fill="D9D9D9" w:themeFill="background1" w:themeFillShade="D9"/>
            <w:vAlign w:val="center"/>
          </w:tcPr>
          <w:p w14:paraId="5961F7B3" w14:textId="77777777" w:rsidR="009B0AA3" w:rsidRPr="00E95228" w:rsidRDefault="009B0AA3" w:rsidP="009B0AA3">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Contrato</w:t>
            </w:r>
          </w:p>
        </w:tc>
        <w:tc>
          <w:tcPr>
            <w:tcW w:w="1134" w:type="dxa"/>
            <w:shd w:val="clear" w:color="auto" w:fill="D9D9D9" w:themeFill="background1" w:themeFillShade="D9"/>
          </w:tcPr>
          <w:p w14:paraId="1E68682B" w14:textId="77777777" w:rsidR="009B0AA3" w:rsidRDefault="009B0AA3" w:rsidP="009B0AA3">
            <w:pPr>
              <w:spacing w:line="276" w:lineRule="auto"/>
              <w:ind w:firstLine="0"/>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Unidade resp.</w:t>
            </w:r>
          </w:p>
        </w:tc>
      </w:tr>
      <w:tr w:rsidR="009B0AA3" w:rsidRPr="00E95228" w14:paraId="735D627E" w14:textId="77777777" w:rsidTr="009B0AA3">
        <w:trPr>
          <w:jc w:val="center"/>
        </w:trPr>
        <w:tc>
          <w:tcPr>
            <w:tcW w:w="500" w:type="dxa"/>
            <w:vAlign w:val="center"/>
          </w:tcPr>
          <w:p w14:paraId="01B999FC" w14:textId="04FD82C5" w:rsidR="009B0AA3" w:rsidRPr="00E95228" w:rsidRDefault="009B0AA3" w:rsidP="00AD2751">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tc>
        <w:tc>
          <w:tcPr>
            <w:tcW w:w="1905" w:type="dxa"/>
            <w:vAlign w:val="center"/>
          </w:tcPr>
          <w:p w14:paraId="4854FFE2" w14:textId="75ED840A" w:rsidR="009B0AA3" w:rsidRPr="00E95228" w:rsidRDefault="009B0AA3" w:rsidP="00AD2751">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0014332-79.2024.4.06.8001</w:t>
            </w:r>
          </w:p>
        </w:tc>
        <w:tc>
          <w:tcPr>
            <w:tcW w:w="2268" w:type="dxa"/>
            <w:vAlign w:val="center"/>
          </w:tcPr>
          <w:p w14:paraId="7FE968CD" w14:textId="01136523" w:rsidR="009B0AA3" w:rsidRPr="00E95228" w:rsidRDefault="009B0AA3" w:rsidP="009B0AA3">
            <w:pPr>
              <w:spacing w:line="276" w:lineRule="auto"/>
              <w:ind w:firstLine="0"/>
              <w:jc w:val="both"/>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Serviços de limpeza, conservação, copeiragem, apoio administrativo com dedicação exclusiva MO</w:t>
            </w:r>
          </w:p>
        </w:tc>
        <w:tc>
          <w:tcPr>
            <w:tcW w:w="1418" w:type="dxa"/>
            <w:vAlign w:val="center"/>
          </w:tcPr>
          <w:p w14:paraId="3866804D" w14:textId="12F68FEC" w:rsidR="009B0AA3" w:rsidRPr="00E95228" w:rsidRDefault="009B0AA3" w:rsidP="00AD2751">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126.158,67</w:t>
            </w:r>
          </w:p>
        </w:tc>
        <w:tc>
          <w:tcPr>
            <w:tcW w:w="1559" w:type="dxa"/>
            <w:vAlign w:val="center"/>
          </w:tcPr>
          <w:p w14:paraId="5C2806A0" w14:textId="77777777" w:rsidR="009B0AA3" w:rsidRPr="0013244A" w:rsidRDefault="009B0AA3" w:rsidP="009B0AA3">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Pregão eletrônico</w:t>
            </w:r>
          </w:p>
          <w:p w14:paraId="4F54DF51" w14:textId="74D50D7D"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w:t>
            </w:r>
            <w:r>
              <w:rPr>
                <w:rFonts w:ascii="Times New Roman" w:hAnsi="Times New Roman" w:cs="Times New Roman"/>
                <w:sz w:val="20"/>
                <w:szCs w:val="20"/>
              </w:rPr>
              <w:t>L</w:t>
            </w:r>
            <w:r w:rsidRPr="0013244A">
              <w:rPr>
                <w:rFonts w:ascii="Times New Roman" w:hAnsi="Times New Roman" w:cs="Times New Roman"/>
                <w:sz w:val="20"/>
                <w:szCs w:val="20"/>
              </w:rPr>
              <w:t>ei 14.133)</w:t>
            </w:r>
          </w:p>
        </w:tc>
        <w:tc>
          <w:tcPr>
            <w:tcW w:w="1134" w:type="dxa"/>
            <w:vAlign w:val="center"/>
          </w:tcPr>
          <w:p w14:paraId="0607FBFF" w14:textId="548EC525" w:rsidR="009B0AA3" w:rsidRPr="009B0AA3" w:rsidRDefault="009B0AA3" w:rsidP="00AD2751">
            <w:pPr>
              <w:spacing w:line="276" w:lineRule="auto"/>
              <w:ind w:firstLine="0"/>
              <w:jc w:val="center"/>
              <w:rPr>
                <w:rFonts w:ascii="Times New Roman" w:eastAsia="Times New Roman" w:hAnsi="Times New Roman" w:cs="Times New Roman"/>
                <w:sz w:val="20"/>
                <w:szCs w:val="20"/>
                <w:lang w:eastAsia="pt-BR"/>
              </w:rPr>
            </w:pPr>
            <w:r w:rsidRPr="009B0AA3">
              <w:rPr>
                <w:rFonts w:ascii="Times New Roman" w:hAnsi="Times New Roman" w:cs="Times New Roman"/>
                <w:sz w:val="20"/>
                <w:szCs w:val="20"/>
              </w:rPr>
              <w:t>042/25</w:t>
            </w:r>
          </w:p>
        </w:tc>
        <w:tc>
          <w:tcPr>
            <w:tcW w:w="1134" w:type="dxa"/>
            <w:vAlign w:val="center"/>
          </w:tcPr>
          <w:p w14:paraId="7B5B29BE" w14:textId="412900ED" w:rsidR="009B0AA3" w:rsidRPr="00E95228" w:rsidRDefault="009B0AA3" w:rsidP="00AD2751">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Juiz de Fora</w:t>
            </w:r>
          </w:p>
        </w:tc>
      </w:tr>
      <w:tr w:rsidR="009B0AA3" w:rsidRPr="00E95228" w14:paraId="25ECF9BB" w14:textId="77777777" w:rsidTr="009B0AA3">
        <w:trPr>
          <w:jc w:val="center"/>
        </w:trPr>
        <w:tc>
          <w:tcPr>
            <w:tcW w:w="500" w:type="dxa"/>
            <w:vAlign w:val="center"/>
          </w:tcPr>
          <w:p w14:paraId="5BA5FB04" w14:textId="0C8E609D" w:rsidR="009B0AA3" w:rsidRDefault="009B0AA3" w:rsidP="009B0AA3">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tc>
        <w:tc>
          <w:tcPr>
            <w:tcW w:w="1905" w:type="dxa"/>
            <w:vAlign w:val="center"/>
          </w:tcPr>
          <w:p w14:paraId="099BB5C7" w14:textId="04D9C374"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0013481-40.2024.4.06.8001</w:t>
            </w:r>
          </w:p>
        </w:tc>
        <w:tc>
          <w:tcPr>
            <w:tcW w:w="2268" w:type="dxa"/>
            <w:vAlign w:val="center"/>
          </w:tcPr>
          <w:p w14:paraId="3599474B" w14:textId="3DE53549" w:rsidR="009B0AA3" w:rsidRPr="00E95228" w:rsidRDefault="009B0AA3" w:rsidP="009B0AA3">
            <w:pPr>
              <w:spacing w:line="276" w:lineRule="auto"/>
              <w:ind w:firstLine="0"/>
              <w:jc w:val="both"/>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Serviços de conservação, limpeza, copeiragem, zeladoria, jardinagem, apoio administrativo e limpeza de veículos</w:t>
            </w:r>
          </w:p>
        </w:tc>
        <w:tc>
          <w:tcPr>
            <w:tcW w:w="1418" w:type="dxa"/>
            <w:vAlign w:val="center"/>
          </w:tcPr>
          <w:p w14:paraId="5450E455" w14:textId="2E849A31" w:rsidR="009B0AA3" w:rsidRPr="00E95228" w:rsidRDefault="009B0AA3" w:rsidP="009B0AA3">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96.399,82</w:t>
            </w:r>
          </w:p>
        </w:tc>
        <w:tc>
          <w:tcPr>
            <w:tcW w:w="1559" w:type="dxa"/>
            <w:vAlign w:val="center"/>
          </w:tcPr>
          <w:p w14:paraId="61E9C996" w14:textId="77777777" w:rsidR="009B0AA3" w:rsidRPr="0013244A" w:rsidRDefault="009B0AA3" w:rsidP="009B0AA3">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Pregão eletrônico</w:t>
            </w:r>
          </w:p>
          <w:p w14:paraId="3E5473C9" w14:textId="60E76FA8"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w:t>
            </w:r>
            <w:r>
              <w:rPr>
                <w:rFonts w:ascii="Times New Roman" w:hAnsi="Times New Roman" w:cs="Times New Roman"/>
                <w:sz w:val="20"/>
                <w:szCs w:val="20"/>
              </w:rPr>
              <w:t>L</w:t>
            </w:r>
            <w:r w:rsidRPr="0013244A">
              <w:rPr>
                <w:rFonts w:ascii="Times New Roman" w:hAnsi="Times New Roman" w:cs="Times New Roman"/>
                <w:sz w:val="20"/>
                <w:szCs w:val="20"/>
              </w:rPr>
              <w:t>ei 14.133)</w:t>
            </w:r>
          </w:p>
        </w:tc>
        <w:tc>
          <w:tcPr>
            <w:tcW w:w="1134" w:type="dxa"/>
            <w:vAlign w:val="center"/>
          </w:tcPr>
          <w:p w14:paraId="48EAB6DE" w14:textId="5680240D" w:rsidR="009B0AA3" w:rsidRPr="009B0AA3" w:rsidRDefault="009B0AA3" w:rsidP="009B0AA3">
            <w:pPr>
              <w:spacing w:line="276" w:lineRule="auto"/>
              <w:ind w:firstLine="0"/>
              <w:jc w:val="center"/>
              <w:rPr>
                <w:rFonts w:ascii="Times New Roman" w:eastAsia="Times New Roman" w:hAnsi="Times New Roman" w:cs="Times New Roman"/>
                <w:sz w:val="20"/>
                <w:szCs w:val="20"/>
                <w:lang w:eastAsia="pt-BR"/>
              </w:rPr>
            </w:pPr>
            <w:r w:rsidRPr="009B0AA3">
              <w:rPr>
                <w:rFonts w:ascii="Times New Roman" w:hAnsi="Times New Roman" w:cs="Times New Roman"/>
                <w:sz w:val="20"/>
                <w:szCs w:val="20"/>
              </w:rPr>
              <w:t>014/25</w:t>
            </w:r>
          </w:p>
        </w:tc>
        <w:tc>
          <w:tcPr>
            <w:tcW w:w="1134" w:type="dxa"/>
            <w:vAlign w:val="center"/>
          </w:tcPr>
          <w:p w14:paraId="6F763C1C" w14:textId="4710A456"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Uberaba</w:t>
            </w:r>
          </w:p>
        </w:tc>
      </w:tr>
      <w:tr w:rsidR="009B0AA3" w:rsidRPr="00E95228" w14:paraId="32A7C442" w14:textId="77777777" w:rsidTr="009B0AA3">
        <w:trPr>
          <w:jc w:val="center"/>
        </w:trPr>
        <w:tc>
          <w:tcPr>
            <w:tcW w:w="500" w:type="dxa"/>
            <w:vAlign w:val="center"/>
          </w:tcPr>
          <w:p w14:paraId="0F3542A5" w14:textId="4D1D1E7B" w:rsidR="009B0AA3" w:rsidRDefault="009B0AA3" w:rsidP="009B0AA3">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1905" w:type="dxa"/>
            <w:vAlign w:val="center"/>
          </w:tcPr>
          <w:p w14:paraId="094A60E7" w14:textId="7FADBDB6"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0048434-86.2020.4.01.8008</w:t>
            </w:r>
          </w:p>
        </w:tc>
        <w:tc>
          <w:tcPr>
            <w:tcW w:w="2268" w:type="dxa"/>
            <w:vAlign w:val="center"/>
          </w:tcPr>
          <w:p w14:paraId="057430CC" w14:textId="126F07C0" w:rsidR="009B0AA3" w:rsidRPr="00E95228" w:rsidRDefault="009B0AA3" w:rsidP="009B0AA3">
            <w:pPr>
              <w:spacing w:line="276" w:lineRule="auto"/>
              <w:ind w:firstLine="0"/>
              <w:jc w:val="both"/>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Serviços de limpeza, conservação, copeiragem, zeladoria e auxílio administrativo e judiciário.</w:t>
            </w:r>
          </w:p>
        </w:tc>
        <w:tc>
          <w:tcPr>
            <w:tcW w:w="1418" w:type="dxa"/>
            <w:vAlign w:val="center"/>
          </w:tcPr>
          <w:p w14:paraId="5580C266" w14:textId="3239C459" w:rsidR="009B0AA3" w:rsidRPr="00E95228" w:rsidRDefault="009B0AA3" w:rsidP="009B0AA3">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126.805,51</w:t>
            </w:r>
          </w:p>
        </w:tc>
        <w:tc>
          <w:tcPr>
            <w:tcW w:w="1559" w:type="dxa"/>
            <w:vAlign w:val="center"/>
          </w:tcPr>
          <w:p w14:paraId="47AE970D" w14:textId="6FEE9AAB"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w:t>
            </w:r>
          </w:p>
        </w:tc>
        <w:tc>
          <w:tcPr>
            <w:tcW w:w="1134" w:type="dxa"/>
            <w:vAlign w:val="center"/>
          </w:tcPr>
          <w:p w14:paraId="0FE598F4" w14:textId="58909505" w:rsidR="009B0AA3" w:rsidRPr="009B0AA3" w:rsidRDefault="009B0AA3" w:rsidP="009B0AA3">
            <w:pPr>
              <w:spacing w:line="276" w:lineRule="auto"/>
              <w:ind w:firstLine="0"/>
              <w:jc w:val="center"/>
              <w:rPr>
                <w:rFonts w:ascii="Times New Roman" w:eastAsia="Times New Roman" w:hAnsi="Times New Roman" w:cs="Times New Roman"/>
                <w:sz w:val="20"/>
                <w:szCs w:val="20"/>
                <w:lang w:eastAsia="pt-BR"/>
              </w:rPr>
            </w:pPr>
            <w:r w:rsidRPr="009B0AA3">
              <w:rPr>
                <w:rFonts w:ascii="Times New Roman" w:hAnsi="Times New Roman" w:cs="Times New Roman"/>
                <w:sz w:val="20"/>
                <w:szCs w:val="20"/>
              </w:rPr>
              <w:t>012/21</w:t>
            </w:r>
          </w:p>
        </w:tc>
        <w:tc>
          <w:tcPr>
            <w:tcW w:w="1134" w:type="dxa"/>
            <w:vAlign w:val="center"/>
          </w:tcPr>
          <w:p w14:paraId="76298A33" w14:textId="67068AF2"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Uberlândia</w:t>
            </w:r>
          </w:p>
        </w:tc>
      </w:tr>
      <w:tr w:rsidR="009B0AA3" w:rsidRPr="00E95228" w14:paraId="0765428D" w14:textId="77777777" w:rsidTr="009B0AA3">
        <w:trPr>
          <w:jc w:val="center"/>
        </w:trPr>
        <w:tc>
          <w:tcPr>
            <w:tcW w:w="500" w:type="dxa"/>
            <w:vAlign w:val="center"/>
          </w:tcPr>
          <w:p w14:paraId="6920EA05" w14:textId="71273E68" w:rsidR="009B0AA3" w:rsidRDefault="009B0AA3" w:rsidP="009B0AA3">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1905" w:type="dxa"/>
            <w:vAlign w:val="center"/>
          </w:tcPr>
          <w:p w14:paraId="2EBEBE0D" w14:textId="77C968B6"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sidRPr="00B7185F">
              <w:rPr>
                <w:rFonts w:ascii="Times New Roman" w:hAnsi="Times New Roman" w:cs="Times New Roman"/>
                <w:sz w:val="20"/>
                <w:szCs w:val="20"/>
              </w:rPr>
              <w:t>0017632-37.2022.4.01.8008</w:t>
            </w:r>
          </w:p>
        </w:tc>
        <w:tc>
          <w:tcPr>
            <w:tcW w:w="2268" w:type="dxa"/>
          </w:tcPr>
          <w:p w14:paraId="668DB257" w14:textId="66E03F4D" w:rsidR="009B0AA3" w:rsidRPr="00E95228" w:rsidRDefault="009B0AA3" w:rsidP="009B0AA3">
            <w:pPr>
              <w:spacing w:line="276" w:lineRule="auto"/>
              <w:ind w:firstLine="0"/>
              <w:jc w:val="both"/>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Serviços nas áreas médica, odontológica e de psicologia</w:t>
            </w:r>
          </w:p>
        </w:tc>
        <w:tc>
          <w:tcPr>
            <w:tcW w:w="1418" w:type="dxa"/>
            <w:vAlign w:val="center"/>
          </w:tcPr>
          <w:p w14:paraId="64FFA798" w14:textId="2FBE3A6B" w:rsidR="009B0AA3" w:rsidRPr="00E95228" w:rsidRDefault="009B0AA3" w:rsidP="009B0AA3">
            <w:pPr>
              <w:spacing w:line="276" w:lineRule="auto"/>
              <w:ind w:firstLine="0"/>
              <w:jc w:val="right"/>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186.135,56</w:t>
            </w:r>
          </w:p>
        </w:tc>
        <w:tc>
          <w:tcPr>
            <w:tcW w:w="1559" w:type="dxa"/>
            <w:vAlign w:val="center"/>
          </w:tcPr>
          <w:p w14:paraId="3ECD52F4" w14:textId="000B39B9"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sidRPr="0013244A">
              <w:rPr>
                <w:rFonts w:ascii="Times New Roman" w:hAnsi="Times New Roman" w:cs="Times New Roman"/>
                <w:sz w:val="20"/>
                <w:szCs w:val="20"/>
              </w:rPr>
              <w:t>Pregão eletrônico</w:t>
            </w:r>
          </w:p>
        </w:tc>
        <w:tc>
          <w:tcPr>
            <w:tcW w:w="1134" w:type="dxa"/>
            <w:vAlign w:val="center"/>
          </w:tcPr>
          <w:p w14:paraId="65F42139" w14:textId="1A7907B6" w:rsidR="009B0AA3" w:rsidRPr="009B0AA3" w:rsidRDefault="009B0AA3" w:rsidP="009B0AA3">
            <w:pPr>
              <w:spacing w:line="276" w:lineRule="auto"/>
              <w:ind w:firstLine="0"/>
              <w:jc w:val="center"/>
              <w:rPr>
                <w:rFonts w:ascii="Times New Roman" w:eastAsia="Times New Roman" w:hAnsi="Times New Roman" w:cs="Times New Roman"/>
                <w:sz w:val="20"/>
                <w:szCs w:val="20"/>
                <w:lang w:eastAsia="pt-BR"/>
              </w:rPr>
            </w:pPr>
            <w:r w:rsidRPr="009B0AA3">
              <w:rPr>
                <w:rFonts w:ascii="Times New Roman" w:hAnsi="Times New Roman" w:cs="Times New Roman"/>
                <w:sz w:val="20"/>
                <w:szCs w:val="20"/>
              </w:rPr>
              <w:t>002/23</w:t>
            </w:r>
          </w:p>
        </w:tc>
        <w:tc>
          <w:tcPr>
            <w:tcW w:w="1134" w:type="dxa"/>
            <w:vAlign w:val="center"/>
          </w:tcPr>
          <w:p w14:paraId="61AB6597" w14:textId="3C49F494" w:rsidR="009B0AA3" w:rsidRPr="00E95228" w:rsidRDefault="009B0AA3" w:rsidP="009B0AA3">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TRF6</w:t>
            </w:r>
          </w:p>
        </w:tc>
      </w:tr>
      <w:tr w:rsidR="009B0AA3" w:rsidRPr="00E95228" w14:paraId="09D2AC92" w14:textId="77777777" w:rsidTr="009B0AA3">
        <w:trPr>
          <w:jc w:val="center"/>
        </w:trPr>
        <w:tc>
          <w:tcPr>
            <w:tcW w:w="500" w:type="dxa"/>
            <w:vAlign w:val="center"/>
          </w:tcPr>
          <w:p w14:paraId="5B1A7A0E" w14:textId="099200F0" w:rsidR="009B0AA3" w:rsidRDefault="009B0AA3" w:rsidP="009B0AA3">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1905" w:type="dxa"/>
            <w:vAlign w:val="center"/>
          </w:tcPr>
          <w:p w14:paraId="21C95124" w14:textId="48DB5F31" w:rsidR="009B0AA3" w:rsidRDefault="009B0AA3" w:rsidP="009B0AA3">
            <w:pPr>
              <w:spacing w:line="276" w:lineRule="auto"/>
              <w:ind w:firstLine="0"/>
              <w:jc w:val="center"/>
            </w:pPr>
            <w:r w:rsidRPr="00B7185F">
              <w:rPr>
                <w:rFonts w:ascii="Times New Roman" w:hAnsi="Times New Roman" w:cs="Times New Roman"/>
                <w:sz w:val="20"/>
                <w:szCs w:val="20"/>
              </w:rPr>
              <w:t>0034587-80.2021.4.01.8008</w:t>
            </w:r>
          </w:p>
        </w:tc>
        <w:tc>
          <w:tcPr>
            <w:tcW w:w="2268" w:type="dxa"/>
          </w:tcPr>
          <w:p w14:paraId="433A94B1" w14:textId="07DCCD3E" w:rsidR="009B0AA3" w:rsidRDefault="009B0AA3" w:rsidP="009B0AA3">
            <w:pPr>
              <w:spacing w:line="276" w:lineRule="auto"/>
              <w:ind w:firstLine="0"/>
              <w:jc w:val="both"/>
              <w:rPr>
                <w:rFonts w:ascii="Times New Roman" w:hAnsi="Times New Roman" w:cs="Times New Roman"/>
                <w:sz w:val="20"/>
                <w:szCs w:val="20"/>
              </w:rPr>
            </w:pPr>
            <w:r w:rsidRPr="0013244A">
              <w:rPr>
                <w:rFonts w:ascii="Times New Roman" w:hAnsi="Times New Roman" w:cs="Times New Roman"/>
                <w:sz w:val="20"/>
                <w:szCs w:val="20"/>
              </w:rPr>
              <w:t>Serviços de conservação, limpeza, copeiragem e serv. Gerais</w:t>
            </w:r>
          </w:p>
        </w:tc>
        <w:tc>
          <w:tcPr>
            <w:tcW w:w="1418" w:type="dxa"/>
            <w:vAlign w:val="center"/>
          </w:tcPr>
          <w:p w14:paraId="39671022" w14:textId="31F3CCFF" w:rsidR="009B0AA3" w:rsidRDefault="009B0AA3" w:rsidP="009B0AA3">
            <w:pPr>
              <w:spacing w:line="276" w:lineRule="auto"/>
              <w:ind w:firstLine="0"/>
              <w:jc w:val="right"/>
              <w:rPr>
                <w:rFonts w:ascii="Times New Roman" w:hAnsi="Times New Roman" w:cs="Times New Roman"/>
                <w:sz w:val="20"/>
                <w:szCs w:val="20"/>
              </w:rPr>
            </w:pPr>
            <w:r w:rsidRPr="0013244A">
              <w:rPr>
                <w:rFonts w:ascii="Times New Roman" w:hAnsi="Times New Roman" w:cs="Times New Roman"/>
                <w:sz w:val="20"/>
                <w:szCs w:val="20"/>
              </w:rPr>
              <w:t>522.060,29</w:t>
            </w:r>
          </w:p>
        </w:tc>
        <w:tc>
          <w:tcPr>
            <w:tcW w:w="1559" w:type="dxa"/>
            <w:vAlign w:val="center"/>
          </w:tcPr>
          <w:p w14:paraId="41E2CD48" w14:textId="3150C5E5" w:rsidR="009B0AA3" w:rsidRDefault="009B0AA3" w:rsidP="009B0AA3">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Pregão eletrônico</w:t>
            </w:r>
          </w:p>
        </w:tc>
        <w:tc>
          <w:tcPr>
            <w:tcW w:w="1134" w:type="dxa"/>
            <w:vAlign w:val="center"/>
          </w:tcPr>
          <w:p w14:paraId="34EA1055" w14:textId="444D8528" w:rsidR="009B0AA3" w:rsidRPr="009B0AA3" w:rsidRDefault="009B0AA3" w:rsidP="009B0AA3">
            <w:pPr>
              <w:spacing w:line="276" w:lineRule="auto"/>
              <w:ind w:firstLine="0"/>
              <w:jc w:val="center"/>
              <w:rPr>
                <w:rFonts w:ascii="Times New Roman" w:hAnsi="Times New Roman" w:cs="Times New Roman"/>
                <w:sz w:val="20"/>
                <w:szCs w:val="20"/>
              </w:rPr>
            </w:pPr>
            <w:r w:rsidRPr="009B0AA3">
              <w:rPr>
                <w:rFonts w:ascii="Times New Roman" w:hAnsi="Times New Roman" w:cs="Times New Roman"/>
                <w:sz w:val="20"/>
                <w:szCs w:val="20"/>
              </w:rPr>
              <w:t>009/22</w:t>
            </w:r>
          </w:p>
        </w:tc>
        <w:tc>
          <w:tcPr>
            <w:tcW w:w="1134" w:type="dxa"/>
            <w:vAlign w:val="center"/>
          </w:tcPr>
          <w:p w14:paraId="12816A2B" w14:textId="480F9B5C" w:rsidR="009B0AA3" w:rsidRPr="0013244A" w:rsidRDefault="009B0AA3" w:rsidP="009B0AA3">
            <w:pPr>
              <w:spacing w:line="276" w:lineRule="auto"/>
              <w:ind w:firstLine="0"/>
              <w:jc w:val="center"/>
              <w:rPr>
                <w:rFonts w:ascii="Times New Roman" w:hAnsi="Times New Roman" w:cs="Times New Roman"/>
                <w:sz w:val="20"/>
                <w:szCs w:val="20"/>
              </w:rPr>
            </w:pPr>
            <w:r>
              <w:rPr>
                <w:rFonts w:ascii="Times New Roman" w:eastAsia="Times New Roman" w:hAnsi="Times New Roman" w:cs="Times New Roman"/>
                <w:sz w:val="20"/>
                <w:szCs w:val="20"/>
                <w:lang w:eastAsia="pt-BR"/>
              </w:rPr>
              <w:t>TRF6</w:t>
            </w:r>
          </w:p>
        </w:tc>
      </w:tr>
      <w:tr w:rsidR="009B0AA3" w:rsidRPr="00E95228" w14:paraId="7D5E46FD" w14:textId="77777777" w:rsidTr="009B0AA3">
        <w:trPr>
          <w:jc w:val="center"/>
        </w:trPr>
        <w:tc>
          <w:tcPr>
            <w:tcW w:w="500" w:type="dxa"/>
            <w:vAlign w:val="center"/>
          </w:tcPr>
          <w:p w14:paraId="344C0A7B" w14:textId="5578E371" w:rsidR="009B0AA3" w:rsidRDefault="009B0AA3" w:rsidP="009B0AA3">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6</w:t>
            </w:r>
          </w:p>
        </w:tc>
        <w:tc>
          <w:tcPr>
            <w:tcW w:w="1905" w:type="dxa"/>
            <w:vAlign w:val="center"/>
          </w:tcPr>
          <w:p w14:paraId="643AE679" w14:textId="790281B0" w:rsidR="009B0AA3" w:rsidRDefault="009B0AA3" w:rsidP="009B0AA3">
            <w:pPr>
              <w:spacing w:line="276" w:lineRule="auto"/>
              <w:ind w:firstLine="0"/>
              <w:jc w:val="center"/>
            </w:pPr>
            <w:r w:rsidRPr="00B7185F">
              <w:rPr>
                <w:rFonts w:ascii="Times New Roman" w:hAnsi="Times New Roman" w:cs="Times New Roman"/>
                <w:sz w:val="20"/>
                <w:szCs w:val="20"/>
              </w:rPr>
              <w:t>0026574-29.2020.4.01.8008</w:t>
            </w:r>
          </w:p>
        </w:tc>
        <w:tc>
          <w:tcPr>
            <w:tcW w:w="2268" w:type="dxa"/>
          </w:tcPr>
          <w:p w14:paraId="42A8AF56" w14:textId="603426F2" w:rsidR="009B0AA3" w:rsidRDefault="009B0AA3" w:rsidP="009B0AA3">
            <w:pPr>
              <w:spacing w:line="276" w:lineRule="auto"/>
              <w:ind w:firstLine="0"/>
              <w:jc w:val="both"/>
              <w:rPr>
                <w:rFonts w:ascii="Times New Roman" w:hAnsi="Times New Roman" w:cs="Times New Roman"/>
                <w:sz w:val="20"/>
                <w:szCs w:val="20"/>
              </w:rPr>
            </w:pPr>
            <w:r w:rsidRPr="0013244A">
              <w:rPr>
                <w:rFonts w:ascii="Times New Roman" w:hAnsi="Times New Roman" w:cs="Times New Roman"/>
                <w:sz w:val="20"/>
                <w:szCs w:val="20"/>
              </w:rPr>
              <w:t>Vigilância desarmada</w:t>
            </w:r>
          </w:p>
        </w:tc>
        <w:tc>
          <w:tcPr>
            <w:tcW w:w="1418" w:type="dxa"/>
            <w:vAlign w:val="center"/>
          </w:tcPr>
          <w:p w14:paraId="5C5B47FD" w14:textId="1A7E964C" w:rsidR="009B0AA3" w:rsidRDefault="009B0AA3" w:rsidP="009B0AA3">
            <w:pPr>
              <w:spacing w:line="276" w:lineRule="auto"/>
              <w:ind w:firstLine="0"/>
              <w:jc w:val="right"/>
              <w:rPr>
                <w:rFonts w:ascii="Times New Roman" w:hAnsi="Times New Roman" w:cs="Times New Roman"/>
                <w:sz w:val="20"/>
                <w:szCs w:val="20"/>
              </w:rPr>
            </w:pPr>
            <w:r w:rsidRPr="0013244A">
              <w:rPr>
                <w:rFonts w:ascii="Times New Roman" w:hAnsi="Times New Roman" w:cs="Times New Roman"/>
                <w:sz w:val="20"/>
                <w:szCs w:val="20"/>
              </w:rPr>
              <w:t>1.458.798,06</w:t>
            </w:r>
          </w:p>
        </w:tc>
        <w:tc>
          <w:tcPr>
            <w:tcW w:w="1559" w:type="dxa"/>
            <w:vAlign w:val="center"/>
          </w:tcPr>
          <w:p w14:paraId="34E59545" w14:textId="56BBC82A" w:rsidR="009B0AA3" w:rsidRDefault="009B0AA3" w:rsidP="009B0AA3">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Pregão eletrônico</w:t>
            </w:r>
          </w:p>
        </w:tc>
        <w:tc>
          <w:tcPr>
            <w:tcW w:w="1134" w:type="dxa"/>
            <w:vAlign w:val="center"/>
          </w:tcPr>
          <w:p w14:paraId="669C422B" w14:textId="685124AE" w:rsidR="009B0AA3" w:rsidRPr="009B0AA3" w:rsidRDefault="009B0AA3" w:rsidP="009B0AA3">
            <w:pPr>
              <w:spacing w:line="276" w:lineRule="auto"/>
              <w:ind w:firstLine="0"/>
              <w:jc w:val="center"/>
              <w:rPr>
                <w:rFonts w:ascii="Times New Roman" w:hAnsi="Times New Roman" w:cs="Times New Roman"/>
                <w:sz w:val="20"/>
                <w:szCs w:val="20"/>
              </w:rPr>
            </w:pPr>
            <w:r w:rsidRPr="009B0AA3">
              <w:rPr>
                <w:rFonts w:ascii="Times New Roman" w:hAnsi="Times New Roman" w:cs="Times New Roman"/>
                <w:sz w:val="20"/>
                <w:szCs w:val="20"/>
              </w:rPr>
              <w:t>028/21</w:t>
            </w:r>
          </w:p>
        </w:tc>
        <w:tc>
          <w:tcPr>
            <w:tcW w:w="1134" w:type="dxa"/>
            <w:vAlign w:val="center"/>
          </w:tcPr>
          <w:p w14:paraId="13A35E1D" w14:textId="772E5DAF" w:rsidR="009B0AA3" w:rsidRPr="0013244A" w:rsidRDefault="009B0AA3" w:rsidP="009B0AA3">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SJMG</w:t>
            </w:r>
          </w:p>
        </w:tc>
      </w:tr>
      <w:tr w:rsidR="009B0AA3" w:rsidRPr="00E95228" w14:paraId="26B3A976" w14:textId="77777777" w:rsidTr="009B0AA3">
        <w:trPr>
          <w:jc w:val="center"/>
        </w:trPr>
        <w:tc>
          <w:tcPr>
            <w:tcW w:w="500" w:type="dxa"/>
            <w:vAlign w:val="center"/>
          </w:tcPr>
          <w:p w14:paraId="1C4A982A" w14:textId="19BA3C25" w:rsidR="009B0AA3" w:rsidRDefault="009B0AA3" w:rsidP="009B0AA3">
            <w:pPr>
              <w:spacing w:line="276"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7</w:t>
            </w:r>
          </w:p>
        </w:tc>
        <w:tc>
          <w:tcPr>
            <w:tcW w:w="1905" w:type="dxa"/>
            <w:vAlign w:val="center"/>
          </w:tcPr>
          <w:p w14:paraId="74BC46D7" w14:textId="6D80AC7A" w:rsidR="009B0AA3" w:rsidRDefault="009B0AA3" w:rsidP="009B0AA3">
            <w:pPr>
              <w:spacing w:line="276" w:lineRule="auto"/>
              <w:ind w:firstLine="0"/>
              <w:jc w:val="center"/>
            </w:pPr>
            <w:r w:rsidRPr="00B7185F">
              <w:rPr>
                <w:rFonts w:ascii="Times New Roman" w:hAnsi="Times New Roman" w:cs="Times New Roman"/>
                <w:sz w:val="20"/>
                <w:szCs w:val="20"/>
              </w:rPr>
              <w:t>0004316-40.2022.4.06.8000</w:t>
            </w:r>
          </w:p>
        </w:tc>
        <w:tc>
          <w:tcPr>
            <w:tcW w:w="2268" w:type="dxa"/>
          </w:tcPr>
          <w:p w14:paraId="75F6A029" w14:textId="4C147CB1" w:rsidR="009B0AA3" w:rsidRDefault="009B0AA3" w:rsidP="009B0AA3">
            <w:pPr>
              <w:spacing w:line="276" w:lineRule="auto"/>
              <w:ind w:firstLine="0"/>
              <w:jc w:val="both"/>
              <w:rPr>
                <w:rFonts w:ascii="Times New Roman" w:hAnsi="Times New Roman" w:cs="Times New Roman"/>
                <w:sz w:val="20"/>
                <w:szCs w:val="20"/>
              </w:rPr>
            </w:pPr>
            <w:r w:rsidRPr="0013244A">
              <w:rPr>
                <w:rFonts w:ascii="Times New Roman" w:hAnsi="Times New Roman" w:cs="Times New Roman"/>
                <w:sz w:val="20"/>
                <w:szCs w:val="20"/>
              </w:rPr>
              <w:t>Serviços de apoio administrativo, recepção e serviços técnicos</w:t>
            </w:r>
          </w:p>
        </w:tc>
        <w:tc>
          <w:tcPr>
            <w:tcW w:w="1418" w:type="dxa"/>
            <w:vAlign w:val="center"/>
          </w:tcPr>
          <w:p w14:paraId="116B410E" w14:textId="44449580" w:rsidR="009B0AA3" w:rsidRDefault="009B0AA3" w:rsidP="009B0AA3">
            <w:pPr>
              <w:spacing w:line="276" w:lineRule="auto"/>
              <w:ind w:firstLine="0"/>
              <w:jc w:val="right"/>
              <w:rPr>
                <w:rFonts w:ascii="Times New Roman" w:hAnsi="Times New Roman" w:cs="Times New Roman"/>
                <w:sz w:val="20"/>
                <w:szCs w:val="20"/>
              </w:rPr>
            </w:pPr>
            <w:r w:rsidRPr="0013244A">
              <w:rPr>
                <w:rFonts w:ascii="Times New Roman" w:hAnsi="Times New Roman" w:cs="Times New Roman"/>
                <w:sz w:val="20"/>
                <w:szCs w:val="20"/>
              </w:rPr>
              <w:t>1.261.941,67</w:t>
            </w:r>
          </w:p>
        </w:tc>
        <w:tc>
          <w:tcPr>
            <w:tcW w:w="1559" w:type="dxa"/>
            <w:vAlign w:val="center"/>
          </w:tcPr>
          <w:p w14:paraId="07296D4A" w14:textId="77777777" w:rsidR="009B0AA3" w:rsidRPr="0013244A" w:rsidRDefault="009B0AA3" w:rsidP="009B0AA3">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Pregão eletrônico</w:t>
            </w:r>
          </w:p>
          <w:p w14:paraId="5AAB68D0" w14:textId="5B5269F3" w:rsidR="009B0AA3" w:rsidRDefault="009B0AA3" w:rsidP="009B0AA3">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w:t>
            </w:r>
            <w:r>
              <w:rPr>
                <w:rFonts w:ascii="Times New Roman" w:hAnsi="Times New Roman" w:cs="Times New Roman"/>
                <w:sz w:val="20"/>
                <w:szCs w:val="20"/>
              </w:rPr>
              <w:t>L</w:t>
            </w:r>
            <w:r w:rsidRPr="0013244A">
              <w:rPr>
                <w:rFonts w:ascii="Times New Roman" w:hAnsi="Times New Roman" w:cs="Times New Roman"/>
                <w:sz w:val="20"/>
                <w:szCs w:val="20"/>
              </w:rPr>
              <w:t>ei 14.133)</w:t>
            </w:r>
          </w:p>
        </w:tc>
        <w:tc>
          <w:tcPr>
            <w:tcW w:w="1134" w:type="dxa"/>
            <w:vAlign w:val="center"/>
          </w:tcPr>
          <w:p w14:paraId="7CE0CC46" w14:textId="555B7947" w:rsidR="009B0AA3" w:rsidRPr="009B0AA3" w:rsidRDefault="009B0AA3" w:rsidP="009B0AA3">
            <w:pPr>
              <w:spacing w:line="276" w:lineRule="auto"/>
              <w:ind w:firstLine="0"/>
              <w:jc w:val="center"/>
              <w:rPr>
                <w:rFonts w:ascii="Times New Roman" w:hAnsi="Times New Roman" w:cs="Times New Roman"/>
                <w:sz w:val="20"/>
                <w:szCs w:val="20"/>
              </w:rPr>
            </w:pPr>
            <w:r w:rsidRPr="009B0AA3">
              <w:rPr>
                <w:rFonts w:ascii="Times New Roman" w:hAnsi="Times New Roman" w:cs="Times New Roman"/>
                <w:sz w:val="20"/>
                <w:szCs w:val="20"/>
              </w:rPr>
              <w:t>041/23</w:t>
            </w:r>
          </w:p>
        </w:tc>
        <w:tc>
          <w:tcPr>
            <w:tcW w:w="1134" w:type="dxa"/>
            <w:vAlign w:val="center"/>
          </w:tcPr>
          <w:p w14:paraId="57099C07" w14:textId="6F9BDF7D" w:rsidR="009B0AA3" w:rsidRPr="0013244A" w:rsidRDefault="009B0AA3" w:rsidP="009B0AA3">
            <w:pPr>
              <w:spacing w:line="276" w:lineRule="auto"/>
              <w:ind w:firstLine="0"/>
              <w:jc w:val="center"/>
              <w:rPr>
                <w:rFonts w:ascii="Times New Roman" w:hAnsi="Times New Roman" w:cs="Times New Roman"/>
                <w:sz w:val="20"/>
                <w:szCs w:val="20"/>
              </w:rPr>
            </w:pPr>
            <w:r w:rsidRPr="0013244A">
              <w:rPr>
                <w:rFonts w:ascii="Times New Roman" w:hAnsi="Times New Roman" w:cs="Times New Roman"/>
                <w:sz w:val="20"/>
                <w:szCs w:val="20"/>
              </w:rPr>
              <w:t>TRF6</w:t>
            </w:r>
          </w:p>
        </w:tc>
      </w:tr>
    </w:tbl>
    <w:p w14:paraId="6411607B" w14:textId="77777777" w:rsidR="00BB38FB" w:rsidRPr="001155D2" w:rsidRDefault="00BB38FB" w:rsidP="00BB38FB">
      <w:pPr>
        <w:spacing w:line="276" w:lineRule="auto"/>
        <w:ind w:firstLine="0"/>
        <w:jc w:val="both"/>
        <w:rPr>
          <w:rFonts w:ascii="Times New Roman" w:hAnsi="Times New Roman" w:cs="Times New Roman"/>
          <w:sz w:val="20"/>
          <w:szCs w:val="20"/>
        </w:rPr>
      </w:pPr>
      <w:r w:rsidRPr="001155D2">
        <w:rPr>
          <w:rFonts w:ascii="Times New Roman" w:hAnsi="Times New Roman" w:cs="Times New Roman"/>
          <w:sz w:val="20"/>
          <w:szCs w:val="20"/>
        </w:rPr>
        <w:t>Fonte: Elaborado pela equipe de auditoria</w:t>
      </w:r>
    </w:p>
    <w:p w14:paraId="79FC6DE8" w14:textId="77777777" w:rsidR="00BB38FB" w:rsidRDefault="00BB38FB" w:rsidP="00BB38FB">
      <w:pPr>
        <w:spacing w:line="276" w:lineRule="auto"/>
        <w:ind w:firstLine="0"/>
        <w:jc w:val="both"/>
        <w:rPr>
          <w:rFonts w:ascii="Times New Roman" w:eastAsia="Times New Roman" w:hAnsi="Times New Roman" w:cs="Times New Roman"/>
          <w:sz w:val="24"/>
          <w:szCs w:val="24"/>
          <w:lang w:eastAsia="pt-BR"/>
        </w:rPr>
      </w:pPr>
    </w:p>
    <w:p w14:paraId="5008173C" w14:textId="45C515E4" w:rsidR="00D179A5" w:rsidRPr="00D179A5" w:rsidRDefault="005B4101" w:rsidP="00D179A5">
      <w:pPr>
        <w:spacing w:line="276" w:lineRule="auto"/>
        <w:ind w:firstLine="708"/>
        <w:jc w:val="both"/>
        <w:rPr>
          <w:rFonts w:ascii="Times New Roman" w:eastAsia="Times New Roman" w:hAnsi="Times New Roman" w:cs="Times New Roman"/>
          <w:sz w:val="24"/>
          <w:szCs w:val="24"/>
          <w:lang w:eastAsia="pt-BR"/>
        </w:rPr>
      </w:pPr>
      <w:r w:rsidRPr="00586134">
        <w:rPr>
          <w:rFonts w:ascii="Times New Roman" w:eastAsia="Times New Roman" w:hAnsi="Times New Roman" w:cs="Times New Roman"/>
          <w:sz w:val="24"/>
          <w:szCs w:val="24"/>
          <w:lang w:eastAsia="pt-BR"/>
        </w:rPr>
        <w:t>Foram analisados os pagamentos e a execução contratual dos processos integrantes da amostra. O relatório Preliminar da Auditoria foi encaminhado</w:t>
      </w:r>
      <w:r w:rsidR="00D179A5">
        <w:rPr>
          <w:rFonts w:ascii="Times New Roman" w:eastAsia="Times New Roman" w:hAnsi="Times New Roman" w:cs="Times New Roman"/>
          <w:sz w:val="24"/>
          <w:szCs w:val="24"/>
          <w:lang w:eastAsia="pt-BR"/>
        </w:rPr>
        <w:t xml:space="preserve"> para que as</w:t>
      </w:r>
      <w:r w:rsidRPr="00586134">
        <w:rPr>
          <w:rFonts w:ascii="Times New Roman" w:eastAsia="Times New Roman" w:hAnsi="Times New Roman" w:cs="Times New Roman"/>
          <w:sz w:val="24"/>
          <w:szCs w:val="24"/>
          <w:lang w:eastAsia="pt-BR"/>
        </w:rPr>
        <w:t xml:space="preserve"> unidades auditadas </w:t>
      </w:r>
      <w:r w:rsidR="00C04E27">
        <w:rPr>
          <w:rFonts w:ascii="Times New Roman" w:eastAsia="Times New Roman" w:hAnsi="Times New Roman" w:cs="Times New Roman"/>
          <w:sz w:val="24"/>
          <w:szCs w:val="24"/>
          <w:lang w:eastAsia="pt-BR"/>
        </w:rPr>
        <w:t>se manifesta</w:t>
      </w:r>
      <w:r w:rsidR="00D179A5">
        <w:rPr>
          <w:rFonts w:ascii="Times New Roman" w:eastAsia="Times New Roman" w:hAnsi="Times New Roman" w:cs="Times New Roman"/>
          <w:sz w:val="24"/>
          <w:szCs w:val="24"/>
          <w:lang w:eastAsia="pt-BR"/>
        </w:rPr>
        <w:t>sse</w:t>
      </w:r>
      <w:r w:rsidR="00C04E27">
        <w:rPr>
          <w:rFonts w:ascii="Times New Roman" w:eastAsia="Times New Roman" w:hAnsi="Times New Roman" w:cs="Times New Roman"/>
          <w:sz w:val="24"/>
          <w:szCs w:val="24"/>
          <w:lang w:eastAsia="pt-BR"/>
        </w:rPr>
        <w:t>m</w:t>
      </w:r>
      <w:r w:rsidR="00D179A5">
        <w:rPr>
          <w:rFonts w:ascii="Times New Roman" w:eastAsia="Times New Roman" w:hAnsi="Times New Roman" w:cs="Times New Roman"/>
          <w:sz w:val="24"/>
          <w:szCs w:val="24"/>
          <w:lang w:eastAsia="pt-BR"/>
        </w:rPr>
        <w:t xml:space="preserve">. </w:t>
      </w:r>
      <w:r w:rsidR="00D179A5" w:rsidRPr="00D179A5">
        <w:rPr>
          <w:rFonts w:ascii="Times New Roman" w:eastAsia="Times New Roman" w:hAnsi="Times New Roman" w:cs="Times New Roman"/>
          <w:sz w:val="24"/>
          <w:szCs w:val="24"/>
          <w:lang w:eastAsia="pt-BR"/>
        </w:rPr>
        <w:t>As manifestações apresentadas foram analisadas e confirmadas pela auditoria, evidenciando postura colaborativa e aderência às recomendações expedidas. Observa-se que diversas medidas já foram adotadas ou estão em fase de implementação, especialmente no que se refere ao aprimoramento dos controles, à revisão de procedimentos e ao reforço das atividades de fiscalização contratual. Não obstante, a maioria das recomendações impacta no planejamento e nos procedimentos das unidades auditadas, demandando tempo, coordenação institucional e acompanhamento contínuo para sua plena implementação.</w:t>
      </w:r>
    </w:p>
    <w:p w14:paraId="1DC26633" w14:textId="34E598EE" w:rsidR="00D179A5" w:rsidRDefault="00D179A5" w:rsidP="00586134">
      <w:pPr>
        <w:spacing w:line="276" w:lineRule="auto"/>
        <w:ind w:firstLine="708"/>
        <w:jc w:val="both"/>
        <w:rPr>
          <w:rFonts w:ascii="Times New Roman" w:eastAsia="Times New Roman" w:hAnsi="Times New Roman" w:cs="Times New Roman"/>
          <w:sz w:val="24"/>
          <w:szCs w:val="24"/>
          <w:lang w:eastAsia="pt-BR"/>
        </w:rPr>
      </w:pPr>
      <w:r w:rsidRPr="00D179A5">
        <w:rPr>
          <w:rFonts w:ascii="Times New Roman" w:eastAsia="Times New Roman" w:hAnsi="Times New Roman" w:cs="Times New Roman"/>
          <w:sz w:val="24"/>
          <w:szCs w:val="24"/>
          <w:lang w:eastAsia="pt-BR"/>
        </w:rPr>
        <w:t>Nesse contexto, conclui-se que os controles internos existentes são parcialmente eficazes, sendo capazes de sustentar a execução contratual; porém, ainda carecem de aprimoramento para assegurar maior consistência, padronização e confiabilidade aos processos. O fortalecimento desses controles, aliado à formalização de fluxos e à melhoria dos mecanismos de monitoramento, é essencial para a mitigação de riscos, a prevenção de inconformidades e o aprimoramento da governança das contratações.</w:t>
      </w:r>
    </w:p>
    <w:p w14:paraId="39C52C30" w14:textId="0E11F797" w:rsidR="00925224" w:rsidRDefault="00724FEF" w:rsidP="00691F19">
      <w:pPr>
        <w:pStyle w:val="NormalWeb"/>
        <w:spacing w:before="240" w:beforeAutospacing="0" w:after="0" w:afterAutospacing="0"/>
        <w:ind w:right="108" w:firstLine="0"/>
        <w:jc w:val="both"/>
      </w:pPr>
      <w:r>
        <w:rPr>
          <w:b/>
          <w:bCs/>
        </w:rPr>
        <w:t>g</w:t>
      </w:r>
      <w:r w:rsidR="008E712E">
        <w:rPr>
          <w:b/>
          <w:bCs/>
        </w:rPr>
        <w:t xml:space="preserve">) </w:t>
      </w:r>
      <w:r w:rsidR="008E712E" w:rsidRPr="005D6AF0">
        <w:rPr>
          <w:b/>
          <w:bCs/>
        </w:rPr>
        <w:t xml:space="preserve">Parâmetros dos testes substantivos (testes de detalhes) e testes de controle aplicados no ciclo </w:t>
      </w:r>
      <w:r w:rsidR="008E712E">
        <w:rPr>
          <w:b/>
          <w:bCs/>
        </w:rPr>
        <w:t>dos precatórios e RPVs</w:t>
      </w:r>
    </w:p>
    <w:p w14:paraId="5C3CFDC2" w14:textId="4ECA38BD" w:rsidR="001F2898" w:rsidRPr="005024B3" w:rsidRDefault="00985FAE" w:rsidP="00FC0E05">
      <w:pPr>
        <w:pStyle w:val="NormalWeb"/>
        <w:spacing w:before="240" w:beforeAutospacing="0" w:after="0" w:afterAutospacing="0"/>
        <w:ind w:right="108" w:firstLine="708"/>
        <w:jc w:val="both"/>
        <w:rPr>
          <w:color w:val="000000"/>
        </w:rPr>
      </w:pPr>
      <w:r w:rsidRPr="00E837F2">
        <w:rPr>
          <w:color w:val="000000"/>
        </w:rPr>
        <w:t>A</w:t>
      </w:r>
      <w:r w:rsidR="005024B3">
        <w:rPr>
          <w:color w:val="000000"/>
        </w:rPr>
        <w:t xml:space="preserve"> equipe de auditoria verificou</w:t>
      </w:r>
      <w:r w:rsidR="00DD4E87">
        <w:rPr>
          <w:color w:val="000000"/>
        </w:rPr>
        <w:t xml:space="preserve"> 100% dos lançamentos do passivo de precatórios, RPVs e do patronal do PSS</w:t>
      </w:r>
      <w:r w:rsidR="00941119">
        <w:rPr>
          <w:color w:val="000000"/>
        </w:rPr>
        <w:t>S</w:t>
      </w:r>
      <w:r w:rsidR="00DD4E87">
        <w:rPr>
          <w:color w:val="000000"/>
        </w:rPr>
        <w:t>, avaliando</w:t>
      </w:r>
      <w:r w:rsidR="005024B3">
        <w:rPr>
          <w:color w:val="000000"/>
        </w:rPr>
        <w:t xml:space="preserve"> se</w:t>
      </w:r>
      <w:r w:rsidR="002051C1">
        <w:rPr>
          <w:color w:val="000000"/>
        </w:rPr>
        <w:t xml:space="preserve"> eles</w:t>
      </w:r>
      <w:r w:rsidR="005024B3">
        <w:rPr>
          <w:color w:val="000000"/>
        </w:rPr>
        <w:t xml:space="preserve"> </w:t>
      </w:r>
      <w:r w:rsidR="00DD4E87">
        <w:rPr>
          <w:color w:val="000000"/>
        </w:rPr>
        <w:t>foram registrados corretamente</w:t>
      </w:r>
      <w:r w:rsidR="00D85850">
        <w:rPr>
          <w:color w:val="000000"/>
        </w:rPr>
        <w:t xml:space="preserve"> com reflexo </w:t>
      </w:r>
      <w:r w:rsidR="004B777C">
        <w:rPr>
          <w:color w:val="000000"/>
        </w:rPr>
        <w:t xml:space="preserve">no </w:t>
      </w:r>
      <w:r w:rsidR="005024B3">
        <w:t>p</w:t>
      </w:r>
      <w:r w:rsidR="005024B3" w:rsidRPr="00AC5D49">
        <w:t>atrimônio das entidades devedoras</w:t>
      </w:r>
      <w:r w:rsidR="005024B3">
        <w:t>,</w:t>
      </w:r>
      <w:r w:rsidR="005024B3" w:rsidRPr="00AC5D49">
        <w:t xml:space="preserve"> e </w:t>
      </w:r>
      <w:r w:rsidR="005024B3">
        <w:rPr>
          <w:bCs/>
        </w:rPr>
        <w:t>se as</w:t>
      </w:r>
      <w:r w:rsidR="005024B3" w:rsidRPr="00A23510">
        <w:t xml:space="preserve"> c</w:t>
      </w:r>
      <w:r w:rsidR="008B52FB">
        <w:t>ontas contábeis utilizadas estavam</w:t>
      </w:r>
      <w:r w:rsidR="005024B3" w:rsidRPr="00A23510">
        <w:t xml:space="preserve"> de acordo com as orientações contidas na Nota Técnica SPO/CJF nº.</w:t>
      </w:r>
      <w:r w:rsidR="005024B3">
        <w:t xml:space="preserve"> 01/2023 (id. </w:t>
      </w:r>
      <w:r w:rsidR="00864AE8" w:rsidRPr="00B7185F">
        <w:t>0584295</w:t>
      </w:r>
      <w:r w:rsidR="005024B3">
        <w:t>).</w:t>
      </w:r>
      <w:r w:rsidR="005024B3">
        <w:rPr>
          <w:color w:val="000000"/>
        </w:rPr>
        <w:t xml:space="preserve"> </w:t>
      </w:r>
      <w:r w:rsidR="004B777C">
        <w:rPr>
          <w:color w:val="000000"/>
        </w:rPr>
        <w:t>Além disso, analisou</w:t>
      </w:r>
      <w:r w:rsidR="008840DE">
        <w:t xml:space="preserve">-se </w:t>
      </w:r>
      <w:r w:rsidR="004B777C">
        <w:t xml:space="preserve">se </w:t>
      </w:r>
      <w:r w:rsidR="00C24DD4">
        <w:t xml:space="preserve">todos </w:t>
      </w:r>
      <w:r w:rsidR="00AC5D49" w:rsidRPr="00AC5D49">
        <w:t>os valores</w:t>
      </w:r>
      <w:r w:rsidR="004D3DF1">
        <w:t xml:space="preserve"> </w:t>
      </w:r>
      <w:r w:rsidR="004B777C">
        <w:t>estimados</w:t>
      </w:r>
      <w:r w:rsidR="00C24DD4">
        <w:t xml:space="preserve"> </w:t>
      </w:r>
      <w:r w:rsidR="004B777C">
        <w:t xml:space="preserve">para </w:t>
      </w:r>
      <w:r w:rsidR="00C24DD4">
        <w:t xml:space="preserve">as </w:t>
      </w:r>
      <w:r w:rsidR="004B777C">
        <w:t xml:space="preserve">despesas com </w:t>
      </w:r>
      <w:r w:rsidR="008562B9">
        <w:t>RPVs para o exercício de 202</w:t>
      </w:r>
      <w:r w:rsidR="00182B89">
        <w:t>6</w:t>
      </w:r>
      <w:r w:rsidR="004B777C">
        <w:t>, bem como</w:t>
      </w:r>
      <w:r w:rsidR="00E00311">
        <w:t>, se</w:t>
      </w:r>
      <w:r w:rsidR="008562B9">
        <w:t xml:space="preserve"> </w:t>
      </w:r>
      <w:r w:rsidR="004B777C">
        <w:t>o</w:t>
      </w:r>
      <w:r w:rsidR="008562B9">
        <w:t xml:space="preserve">s valores dos precatórios e patronal do PSSS </w:t>
      </w:r>
      <w:r w:rsidR="00AC5D49">
        <w:rPr>
          <w:bCs/>
        </w:rPr>
        <w:t>constantes do</w:t>
      </w:r>
      <w:r w:rsidR="004660FE">
        <w:rPr>
          <w:bCs/>
        </w:rPr>
        <w:t xml:space="preserve"> PLOA 202</w:t>
      </w:r>
      <w:r w:rsidR="00182B89">
        <w:rPr>
          <w:bCs/>
        </w:rPr>
        <w:t>6</w:t>
      </w:r>
      <w:r w:rsidR="008562B9">
        <w:rPr>
          <w:bCs/>
        </w:rPr>
        <w:t xml:space="preserve"> e os</w:t>
      </w:r>
      <w:r w:rsidR="007311BE">
        <w:rPr>
          <w:bCs/>
        </w:rPr>
        <w:t xml:space="preserve"> precatórios</w:t>
      </w:r>
      <w:r w:rsidR="008562B9">
        <w:rPr>
          <w:bCs/>
        </w:rPr>
        <w:t xml:space="preserve"> pendentes de expedição </w:t>
      </w:r>
      <w:r w:rsidRPr="00AC5D49">
        <w:rPr>
          <w:bCs/>
        </w:rPr>
        <w:t>foram registrados de acordo com o</w:t>
      </w:r>
      <w:r w:rsidR="005E1F3D">
        <w:rPr>
          <w:bCs/>
        </w:rPr>
        <w:t xml:space="preserve"> regime</w:t>
      </w:r>
      <w:r w:rsidRPr="00AC5D49">
        <w:rPr>
          <w:bCs/>
        </w:rPr>
        <w:t xml:space="preserve"> de competência</w:t>
      </w:r>
      <w:r w:rsidR="005E1F3D">
        <w:rPr>
          <w:bCs/>
        </w:rPr>
        <w:t>.</w:t>
      </w:r>
      <w:r w:rsidR="00ED3576">
        <w:rPr>
          <w:bCs/>
        </w:rPr>
        <w:t xml:space="preserve"> </w:t>
      </w:r>
    </w:p>
    <w:p w14:paraId="2ADFF0E4" w14:textId="5C0B8A5B" w:rsidR="006D3BED" w:rsidRDefault="004B777C" w:rsidP="0082044C">
      <w:pPr>
        <w:pStyle w:val="NormalWeb"/>
        <w:spacing w:before="240" w:beforeAutospacing="0" w:after="0" w:afterAutospacing="0"/>
        <w:ind w:left="108" w:right="108" w:firstLine="600"/>
        <w:jc w:val="both"/>
        <w:rPr>
          <w:color w:val="000000"/>
        </w:rPr>
      </w:pPr>
      <w:r>
        <w:rPr>
          <w:color w:val="000000"/>
        </w:rPr>
        <w:t xml:space="preserve">Adicionalmente, verificou-se se </w:t>
      </w:r>
      <w:r w:rsidR="006A5921">
        <w:rPr>
          <w:color w:val="000000"/>
        </w:rPr>
        <w:t xml:space="preserve">os registros </w:t>
      </w:r>
      <w:r w:rsidR="006A5921">
        <w:t xml:space="preserve">de transferência da obrigação a pagar com precatórios e RPVs do ente devedor para o TRF6, </w:t>
      </w:r>
      <w:r>
        <w:t xml:space="preserve">visando viabilizar a </w:t>
      </w:r>
      <w:r w:rsidR="006A5921">
        <w:t xml:space="preserve">emissão de empenho, liquidação e pagamento das sentenças judiciais, seguiram as </w:t>
      </w:r>
      <w:r>
        <w:t>diretrizes</w:t>
      </w:r>
      <w:r w:rsidR="006A5921" w:rsidRPr="001D6F33">
        <w:t xml:space="preserve"> </w:t>
      </w:r>
      <w:r>
        <w:t xml:space="preserve">da </w:t>
      </w:r>
      <w:r w:rsidR="006A5921" w:rsidRPr="001D6F33">
        <w:rPr>
          <w:color w:val="000000"/>
        </w:rPr>
        <w:t xml:space="preserve">Nota Técnica SPO/CJF nº. 01/2023 (id. </w:t>
      </w:r>
      <w:r w:rsidR="00007172" w:rsidRPr="00B7185F">
        <w:t>0584295</w:t>
      </w:r>
      <w:r w:rsidR="006A5921" w:rsidRPr="001D6F33">
        <w:rPr>
          <w:color w:val="000000"/>
        </w:rPr>
        <w:t>).</w:t>
      </w:r>
      <w:r w:rsidR="00654E98">
        <w:rPr>
          <w:color w:val="000000"/>
        </w:rPr>
        <w:t xml:space="preserve"> </w:t>
      </w:r>
    </w:p>
    <w:p w14:paraId="6C292681" w14:textId="0130CFF6" w:rsidR="001F2898" w:rsidRPr="003E3420" w:rsidRDefault="00654E98" w:rsidP="0082044C">
      <w:pPr>
        <w:pStyle w:val="NormalWeb"/>
        <w:spacing w:before="240" w:beforeAutospacing="0" w:after="0" w:afterAutospacing="0"/>
        <w:ind w:left="108" w:right="108" w:firstLine="600"/>
        <w:jc w:val="both"/>
        <w:rPr>
          <w:color w:val="000000"/>
        </w:rPr>
      </w:pPr>
      <w:r>
        <w:rPr>
          <w:color w:val="000000"/>
        </w:rPr>
        <w:t>F</w:t>
      </w:r>
      <w:r w:rsidR="006A5921">
        <w:rPr>
          <w:color w:val="000000"/>
        </w:rPr>
        <w:t>oram realizados testes para avaliar</w:t>
      </w:r>
      <w:r w:rsidR="00DE1861">
        <w:rPr>
          <w:color w:val="000000"/>
        </w:rPr>
        <w:t xml:space="preserve"> </w:t>
      </w:r>
      <w:r w:rsidR="006A5921">
        <w:rPr>
          <w:color w:val="000000"/>
        </w:rPr>
        <w:t xml:space="preserve">se </w:t>
      </w:r>
      <w:r w:rsidR="00DE1861">
        <w:rPr>
          <w:color w:val="000000"/>
        </w:rPr>
        <w:t xml:space="preserve">as </w:t>
      </w:r>
      <w:r w:rsidR="006A5921">
        <w:rPr>
          <w:color w:val="000000"/>
        </w:rPr>
        <w:t xml:space="preserve">classificações da despesa </w:t>
      </w:r>
      <w:r w:rsidR="004B777C">
        <w:rPr>
          <w:color w:val="000000"/>
        </w:rPr>
        <w:t>estavam</w:t>
      </w:r>
      <w:r w:rsidR="00DE1861">
        <w:rPr>
          <w:color w:val="000000"/>
        </w:rPr>
        <w:t xml:space="preserve"> </w:t>
      </w:r>
      <w:r w:rsidR="006A5921" w:rsidRPr="00893F9F">
        <w:rPr>
          <w:color w:val="000000"/>
        </w:rPr>
        <w:t xml:space="preserve">de acordo com a </w:t>
      </w:r>
      <w:r w:rsidR="006A5921">
        <w:rPr>
          <w:color w:val="000000"/>
        </w:rPr>
        <w:t>classificação do requisitório (a</w:t>
      </w:r>
      <w:r w:rsidR="006A5921" w:rsidRPr="00893F9F">
        <w:rPr>
          <w:color w:val="000000"/>
        </w:rPr>
        <w:t>limentar, comum (corrente e capital)).</w:t>
      </w:r>
      <w:r w:rsidR="00A50D8D">
        <w:rPr>
          <w:color w:val="000000"/>
        </w:rPr>
        <w:t xml:space="preserve"> </w:t>
      </w:r>
      <w:r w:rsidR="004B777C">
        <w:rPr>
          <w:color w:val="000000"/>
        </w:rPr>
        <w:t xml:space="preserve">Verificou-se também se </w:t>
      </w:r>
      <w:r w:rsidR="00A50D8D">
        <w:t>os valores das ordens bancárias e Lista de Processo - LP referentes a</w:t>
      </w:r>
      <w:r w:rsidR="003955C5">
        <w:t>os</w:t>
      </w:r>
      <w:r w:rsidR="00A50D8D">
        <w:t xml:space="preserve"> precatórios pagos em </w:t>
      </w:r>
      <w:r w:rsidR="00182B89">
        <w:t>julho</w:t>
      </w:r>
      <w:r w:rsidR="00A50D8D">
        <w:t xml:space="preserve"> de 202</w:t>
      </w:r>
      <w:r w:rsidR="00182B89">
        <w:t>5</w:t>
      </w:r>
      <w:r w:rsidR="004B777C">
        <w:t xml:space="preserve"> e as RPVs pagas entre </w:t>
      </w:r>
      <w:r w:rsidR="000135F5">
        <w:t>fevereiro</w:t>
      </w:r>
      <w:r w:rsidR="004B777C">
        <w:t xml:space="preserve"> e</w:t>
      </w:r>
      <w:r w:rsidR="00D26ED9">
        <w:t xml:space="preserve"> </w:t>
      </w:r>
      <w:r w:rsidR="000135F5">
        <w:t>agosto</w:t>
      </w:r>
      <w:r w:rsidR="00D26ED9">
        <w:t xml:space="preserve"> de 202</w:t>
      </w:r>
      <w:r w:rsidR="000135F5">
        <w:t>5</w:t>
      </w:r>
      <w:r w:rsidR="004B777C">
        <w:t xml:space="preserve"> foram emitido</w:t>
      </w:r>
      <w:r w:rsidR="00A50D8D">
        <w:t xml:space="preserve">s em consonância com os valores autorizados pela Subsecretaria de </w:t>
      </w:r>
      <w:r w:rsidR="00A50D8D" w:rsidRPr="003E3420">
        <w:rPr>
          <w:color w:val="000000"/>
        </w:rPr>
        <w:t>Precatórios –</w:t>
      </w:r>
      <w:r w:rsidRPr="003E3420">
        <w:rPr>
          <w:color w:val="000000"/>
        </w:rPr>
        <w:t xml:space="preserve"> SUPRE.</w:t>
      </w:r>
    </w:p>
    <w:p w14:paraId="01B70E3D" w14:textId="65761619" w:rsidR="000D4251" w:rsidRPr="003E3420" w:rsidRDefault="00AC2AC2" w:rsidP="0082044C">
      <w:pPr>
        <w:pStyle w:val="NormalWeb"/>
        <w:spacing w:before="240" w:beforeAutospacing="0" w:after="0" w:afterAutospacing="0"/>
        <w:ind w:left="108" w:right="108" w:firstLine="600"/>
        <w:jc w:val="both"/>
        <w:rPr>
          <w:color w:val="000000"/>
        </w:rPr>
      </w:pPr>
      <w:r w:rsidRPr="003E3420">
        <w:rPr>
          <w:color w:val="000000"/>
        </w:rPr>
        <w:t>Quanto à conformidade</w:t>
      </w:r>
      <w:r w:rsidR="00CD00B8">
        <w:rPr>
          <w:color w:val="000000"/>
        </w:rPr>
        <w:t>,</w:t>
      </w:r>
      <w:r w:rsidR="009E53F6">
        <w:rPr>
          <w:color w:val="000000"/>
        </w:rPr>
        <w:t xml:space="preserve"> </w:t>
      </w:r>
      <w:r w:rsidR="00CD00B8">
        <w:rPr>
          <w:color w:val="000000"/>
        </w:rPr>
        <w:t>verificou</w:t>
      </w:r>
      <w:r w:rsidR="00BF1BE0">
        <w:rPr>
          <w:color w:val="000000"/>
        </w:rPr>
        <w:t xml:space="preserve">-se se os </w:t>
      </w:r>
      <w:r w:rsidR="00313C54">
        <w:rPr>
          <w:color w:val="000000"/>
        </w:rPr>
        <w:t>dados de</w:t>
      </w:r>
      <w:r w:rsidR="00BF1BE0" w:rsidRPr="003E3420">
        <w:rPr>
          <w:color w:val="000000"/>
        </w:rPr>
        <w:t xml:space="preserve"> p</w:t>
      </w:r>
      <w:r w:rsidR="00313C54">
        <w:rPr>
          <w:color w:val="000000"/>
        </w:rPr>
        <w:t>agamento de p</w:t>
      </w:r>
      <w:r w:rsidR="00BF1BE0" w:rsidRPr="003E3420">
        <w:rPr>
          <w:color w:val="000000"/>
        </w:rPr>
        <w:t>recatórios e RPVs</w:t>
      </w:r>
      <w:r w:rsidR="00313C54">
        <w:rPr>
          <w:color w:val="000000"/>
        </w:rPr>
        <w:t xml:space="preserve"> foram</w:t>
      </w:r>
      <w:r w:rsidR="0081646D">
        <w:rPr>
          <w:color w:val="000000"/>
        </w:rPr>
        <w:t xml:space="preserve"> corretamente</w:t>
      </w:r>
      <w:r w:rsidR="00313C54">
        <w:rPr>
          <w:color w:val="000000"/>
        </w:rPr>
        <w:t xml:space="preserve"> migrados</w:t>
      </w:r>
      <w:r w:rsidR="00BF1BE0">
        <w:rPr>
          <w:color w:val="000000"/>
        </w:rPr>
        <w:t xml:space="preserve"> do </w:t>
      </w:r>
      <w:r w:rsidR="00CD0415">
        <w:rPr>
          <w:color w:val="000000"/>
        </w:rPr>
        <w:t>E</w:t>
      </w:r>
      <w:r w:rsidR="00BF1BE0" w:rsidRPr="003E3420">
        <w:rPr>
          <w:color w:val="000000"/>
        </w:rPr>
        <w:t>proc para o SIAFI</w:t>
      </w:r>
      <w:r w:rsidR="009E53F6">
        <w:rPr>
          <w:color w:val="000000"/>
        </w:rPr>
        <w:t xml:space="preserve">, utilizando-se a amostragem estatística por unidade monetária. </w:t>
      </w:r>
      <w:r w:rsidR="00CD00B8">
        <w:rPr>
          <w:color w:val="000000"/>
        </w:rPr>
        <w:t>Avaliou-se</w:t>
      </w:r>
      <w:r w:rsidR="00313C54">
        <w:rPr>
          <w:color w:val="000000"/>
        </w:rPr>
        <w:t>, ainda,</w:t>
      </w:r>
      <w:r w:rsidR="00CD00B8">
        <w:rPr>
          <w:color w:val="000000"/>
        </w:rPr>
        <w:t xml:space="preserve"> se </w:t>
      </w:r>
      <w:r w:rsidR="00313C54">
        <w:rPr>
          <w:color w:val="000000"/>
        </w:rPr>
        <w:t xml:space="preserve">foram respeitados </w:t>
      </w:r>
      <w:r w:rsidR="00CD00B8">
        <w:rPr>
          <w:color w:val="000000"/>
        </w:rPr>
        <w:t xml:space="preserve">o </w:t>
      </w:r>
      <w:r w:rsidRPr="003E3420">
        <w:rPr>
          <w:color w:val="000000"/>
        </w:rPr>
        <w:t>limite máximo de 60 salários mínimos</w:t>
      </w:r>
      <w:r w:rsidR="0081646D">
        <w:rPr>
          <w:color w:val="000000"/>
        </w:rPr>
        <w:t xml:space="preserve"> e o prazo de 60 dias para</w:t>
      </w:r>
      <w:r w:rsidR="00313C54">
        <w:rPr>
          <w:color w:val="000000"/>
        </w:rPr>
        <w:t xml:space="preserve"> pagamento da</w:t>
      </w:r>
      <w:r w:rsidRPr="003E3420">
        <w:rPr>
          <w:color w:val="000000"/>
        </w:rPr>
        <w:t>s RPV</w:t>
      </w:r>
      <w:r w:rsidR="00313C54">
        <w:rPr>
          <w:color w:val="000000"/>
        </w:rPr>
        <w:t>s</w:t>
      </w:r>
      <w:r w:rsidR="0081646D">
        <w:rPr>
          <w:color w:val="000000"/>
        </w:rPr>
        <w:t xml:space="preserve">. </w:t>
      </w:r>
      <w:r w:rsidR="00CD00B8">
        <w:rPr>
          <w:color w:val="000000"/>
        </w:rPr>
        <w:t xml:space="preserve">Por fim, verificou-se </w:t>
      </w:r>
      <w:r w:rsidR="0081646D">
        <w:rPr>
          <w:color w:val="000000"/>
        </w:rPr>
        <w:t>se</w:t>
      </w:r>
      <w:r w:rsidR="00E23C98">
        <w:rPr>
          <w:color w:val="000000"/>
        </w:rPr>
        <w:t xml:space="preserve"> foi observada</w:t>
      </w:r>
      <w:r w:rsidR="00313C54">
        <w:rPr>
          <w:color w:val="000000"/>
        </w:rPr>
        <w:t xml:space="preserve"> a </w:t>
      </w:r>
      <w:r w:rsidRPr="003E3420">
        <w:rPr>
          <w:color w:val="000000"/>
        </w:rPr>
        <w:t>proporcionalidade de 50% en</w:t>
      </w:r>
      <w:r w:rsidR="00313C54">
        <w:rPr>
          <w:color w:val="000000"/>
        </w:rPr>
        <w:t>tre o Banco do Brasil e a Caixa</w:t>
      </w:r>
      <w:r w:rsidRPr="003E3420">
        <w:rPr>
          <w:color w:val="000000"/>
        </w:rPr>
        <w:t xml:space="preserve"> na distribuição dos valores pagos</w:t>
      </w:r>
      <w:r w:rsidR="00E23C98">
        <w:rPr>
          <w:color w:val="000000"/>
        </w:rPr>
        <w:t>.</w:t>
      </w:r>
    </w:p>
    <w:p w14:paraId="66A9F8E0" w14:textId="77777777" w:rsidR="001F2898" w:rsidRDefault="001F2898" w:rsidP="0082044C">
      <w:pPr>
        <w:ind w:firstLine="0"/>
        <w:jc w:val="both"/>
        <w:rPr>
          <w:rFonts w:ascii="Times New Roman" w:eastAsia="Times New Roman" w:hAnsi="Times New Roman" w:cs="Times New Roman"/>
          <w:sz w:val="24"/>
          <w:szCs w:val="24"/>
          <w:lang w:eastAsia="pt-BR"/>
        </w:rPr>
      </w:pPr>
      <w:bookmarkStart w:id="41" w:name="_Toc67064404"/>
    </w:p>
    <w:p w14:paraId="21BD847E" w14:textId="77777777" w:rsidR="001F2898" w:rsidRDefault="00A61C3A" w:rsidP="004B1E97">
      <w:pPr>
        <w:spacing w:before="240"/>
        <w:ind w:firstLine="0"/>
        <w:jc w:val="both"/>
        <w:rPr>
          <w:rFonts w:ascii="Times New Roman" w:eastAsia="Times New Roman" w:hAnsi="Times New Roman" w:cs="Times New Roman"/>
          <w:sz w:val="24"/>
          <w:szCs w:val="24"/>
          <w:lang w:eastAsia="pt-BR"/>
        </w:rPr>
      </w:pPr>
      <w:r w:rsidRPr="003E5092">
        <w:rPr>
          <w:rFonts w:ascii="Times New Roman" w:eastAsia="Times New Roman" w:hAnsi="Times New Roman" w:cs="Times New Roman"/>
          <w:b/>
          <w:bCs/>
          <w:color w:val="000000"/>
          <w:sz w:val="24"/>
          <w:szCs w:val="24"/>
          <w:lang w:eastAsia="pt-BR"/>
        </w:rPr>
        <w:t>APÊNDICE B – COMENTÁRIOS DE GESTORES E ANÁLISE DA EQUIPE</w:t>
      </w:r>
      <w:bookmarkEnd w:id="41"/>
    </w:p>
    <w:p w14:paraId="7E909B74" w14:textId="77777777" w:rsidR="001F2898" w:rsidRDefault="00282D62" w:rsidP="0082044C">
      <w:pPr>
        <w:spacing w:before="240"/>
        <w:ind w:firstLine="708"/>
        <w:jc w:val="both"/>
        <w:rPr>
          <w:rFonts w:ascii="Times New Roman" w:eastAsia="Times New Roman" w:hAnsi="Times New Roman" w:cs="Times New Roman"/>
          <w:sz w:val="24"/>
          <w:szCs w:val="24"/>
          <w:lang w:eastAsia="pt-BR"/>
        </w:rPr>
      </w:pPr>
      <w:r w:rsidRPr="002900B7">
        <w:rPr>
          <w:rFonts w:ascii="Times New Roman" w:eastAsia="Times New Roman" w:hAnsi="Times New Roman" w:cs="Times New Roman"/>
          <w:color w:val="000000"/>
          <w:sz w:val="24"/>
          <w:szCs w:val="24"/>
          <w:lang w:eastAsia="pt-BR"/>
        </w:rPr>
        <w:t xml:space="preserve">Este Apêndice do relatório atende ao disposto </w:t>
      </w:r>
      <w:r w:rsidRPr="008C6CAA">
        <w:rPr>
          <w:rFonts w:ascii="Times New Roman" w:eastAsia="Times New Roman" w:hAnsi="Times New Roman" w:cs="Times New Roman"/>
          <w:color w:val="000000"/>
          <w:sz w:val="24"/>
          <w:szCs w:val="24"/>
          <w:lang w:eastAsia="pt-BR"/>
        </w:rPr>
        <w:t xml:space="preserve">nas </w:t>
      </w:r>
      <w:hyperlink r:id="rId78" w:tgtFrame="_blank" w:history="1">
        <w:r w:rsidR="008C6CAA" w:rsidRPr="008C6CAA">
          <w:rPr>
            <w:rStyle w:val="Hyperlink"/>
            <w:rFonts w:ascii="Times New Roman" w:hAnsi="Times New Roman" w:cs="Times New Roman"/>
            <w:sz w:val="24"/>
            <w:szCs w:val="24"/>
          </w:rPr>
          <w:t>Normas de Auditoria do TCU</w:t>
        </w:r>
      </w:hyperlink>
      <w:r w:rsidRPr="008C6CAA">
        <w:rPr>
          <w:rFonts w:ascii="Times New Roman" w:eastAsia="Times New Roman" w:hAnsi="Times New Roman" w:cs="Times New Roman"/>
          <w:color w:val="000000"/>
          <w:sz w:val="24"/>
          <w:szCs w:val="24"/>
          <w:lang w:eastAsia="pt-BR"/>
        </w:rPr>
        <w:t>, itens</w:t>
      </w:r>
      <w:r w:rsidRPr="002900B7">
        <w:rPr>
          <w:rFonts w:ascii="Times New Roman" w:eastAsia="Times New Roman" w:hAnsi="Times New Roman" w:cs="Times New Roman"/>
          <w:color w:val="000000"/>
          <w:sz w:val="24"/>
          <w:szCs w:val="24"/>
          <w:lang w:eastAsia="pt-BR"/>
        </w:rPr>
        <w:t xml:space="preserve"> 144 a 148, e </w:t>
      </w:r>
      <w:r w:rsidRPr="008C6CAA">
        <w:rPr>
          <w:rFonts w:ascii="Times New Roman" w:eastAsia="Times New Roman" w:hAnsi="Times New Roman" w:cs="Times New Roman"/>
          <w:color w:val="000000"/>
          <w:sz w:val="24"/>
          <w:szCs w:val="24"/>
          <w:lang w:eastAsia="pt-BR"/>
        </w:rPr>
        <w:t xml:space="preserve">na </w:t>
      </w:r>
      <w:hyperlink r:id="rId79" w:tgtFrame="_blank" w:history="1">
        <w:r w:rsidR="008C6CAA" w:rsidRPr="008C6CAA">
          <w:rPr>
            <w:rStyle w:val="Hyperlink"/>
            <w:rFonts w:ascii="Times New Roman" w:hAnsi="Times New Roman" w:cs="Times New Roman"/>
            <w:sz w:val="24"/>
            <w:szCs w:val="24"/>
          </w:rPr>
          <w:t>Orientação Prática: Relatório de Auditoria da CGU</w:t>
        </w:r>
      </w:hyperlink>
      <w:r w:rsidRPr="002900B7">
        <w:rPr>
          <w:rFonts w:ascii="Times New Roman" w:eastAsia="Times New Roman" w:hAnsi="Times New Roman" w:cs="Times New Roman"/>
          <w:color w:val="000000"/>
          <w:sz w:val="24"/>
          <w:szCs w:val="24"/>
          <w:lang w:eastAsia="pt-BR"/>
        </w:rPr>
        <w:t xml:space="preserve">, item 3.11.1. Também atende ao disposto no art. 14 </w:t>
      </w:r>
      <w:r w:rsidRPr="008C6CAA">
        <w:rPr>
          <w:rFonts w:ascii="Times New Roman" w:eastAsia="Times New Roman" w:hAnsi="Times New Roman" w:cs="Times New Roman"/>
          <w:color w:val="000000"/>
          <w:sz w:val="24"/>
          <w:szCs w:val="24"/>
          <w:lang w:eastAsia="pt-BR"/>
        </w:rPr>
        <w:t>da</w:t>
      </w:r>
      <w:r w:rsidR="00A61C3A" w:rsidRPr="008C6CAA">
        <w:rPr>
          <w:rFonts w:ascii="Times New Roman" w:eastAsia="Times New Roman" w:hAnsi="Times New Roman" w:cs="Times New Roman"/>
          <w:color w:val="000000"/>
          <w:sz w:val="24"/>
          <w:szCs w:val="24"/>
          <w:lang w:eastAsia="pt-BR"/>
        </w:rPr>
        <w:t xml:space="preserve"> </w:t>
      </w:r>
      <w:hyperlink r:id="rId80" w:anchor="/documento/ato-normativo/*/TIPO%253A%2528Resolu%25C3%25A7%25C3%25A3o%2529%2520NUMATO%253A315%2520NUMANOATO%253A2020/DTRELEVANCIA%2520desc%252CNUMATOINT%2520desc/0/%2520?uuid=ee4d0190-96e6-11ea-b39d-7744880a9168" w:tgtFrame="_blank" w:history="1">
        <w:r w:rsidR="008C6CAA" w:rsidRPr="008C6CAA">
          <w:rPr>
            <w:rStyle w:val="Hyperlink"/>
            <w:rFonts w:ascii="Times New Roman" w:hAnsi="Times New Roman" w:cs="Times New Roman"/>
            <w:sz w:val="24"/>
            <w:szCs w:val="24"/>
          </w:rPr>
          <w:t>Resolução TCU 315, de 2020</w:t>
        </w:r>
      </w:hyperlink>
      <w:r w:rsidR="00A61C3A" w:rsidRPr="003E5092">
        <w:rPr>
          <w:rFonts w:ascii="Times New Roman" w:eastAsia="Times New Roman" w:hAnsi="Times New Roman" w:cs="Times New Roman"/>
          <w:color w:val="000000"/>
          <w:sz w:val="24"/>
          <w:szCs w:val="24"/>
          <w:lang w:eastAsia="pt-BR"/>
        </w:rPr>
        <w:t xml:space="preserve">, no sentido de oportunizar aos destinatários das deliberações a apresentação de comentários sobre as propostas de determinação e/ou </w:t>
      </w:r>
      <w:r w:rsidR="00A61C3A" w:rsidRPr="003E5092">
        <w:rPr>
          <w:rFonts w:ascii="Times New Roman" w:eastAsia="Times New Roman" w:hAnsi="Times New Roman" w:cs="Times New Roman"/>
          <w:color w:val="000000"/>
          <w:sz w:val="24"/>
          <w:szCs w:val="24"/>
          <w:lang w:eastAsia="pt-BR"/>
        </w:rPr>
        <w:lastRenderedPageBreak/>
        <w:t>recomendação, solicitando, em prazo compatível, informações quanto às consequências práticas da implementação das medidas aventadas e eventuais alternativas.</w:t>
      </w:r>
    </w:p>
    <w:p w14:paraId="0CA8AE80" w14:textId="77777777" w:rsidR="002D7093" w:rsidRDefault="00010879" w:rsidP="0082044C">
      <w:pPr>
        <w:autoSpaceDE w:val="0"/>
        <w:autoSpaceDN w:val="0"/>
        <w:adjustRightInd w:val="0"/>
        <w:spacing w:before="240"/>
        <w:ind w:firstLine="708"/>
        <w:jc w:val="both"/>
        <w:rPr>
          <w:rFonts w:ascii="Times New Roman" w:eastAsia="Times New Roman" w:hAnsi="Times New Roman" w:cs="Times New Roman"/>
          <w:color w:val="000000"/>
          <w:sz w:val="24"/>
          <w:szCs w:val="24"/>
          <w:lang w:eastAsia="pt-BR"/>
        </w:rPr>
      </w:pPr>
      <w:r w:rsidRPr="00010879">
        <w:rPr>
          <w:rFonts w:ascii="Times New Roman" w:eastAsia="Times New Roman" w:hAnsi="Times New Roman" w:cs="Times New Roman"/>
          <w:color w:val="000000"/>
          <w:sz w:val="24"/>
          <w:szCs w:val="24"/>
          <w:lang w:eastAsia="pt-BR"/>
        </w:rPr>
        <w:t>A análise e consideração desses comentários no relatório final resulta em um documento</w:t>
      </w:r>
      <w:r>
        <w:rPr>
          <w:rFonts w:ascii="Times New Roman" w:eastAsia="Times New Roman" w:hAnsi="Times New Roman" w:cs="Times New Roman"/>
          <w:color w:val="000000"/>
          <w:sz w:val="24"/>
          <w:szCs w:val="24"/>
          <w:lang w:eastAsia="pt-BR"/>
        </w:rPr>
        <w:t xml:space="preserve"> </w:t>
      </w:r>
      <w:r w:rsidRPr="00010879">
        <w:rPr>
          <w:rFonts w:ascii="Times New Roman" w:eastAsia="Times New Roman" w:hAnsi="Times New Roman" w:cs="Times New Roman"/>
          <w:color w:val="000000"/>
          <w:sz w:val="24"/>
          <w:szCs w:val="24"/>
          <w:lang w:eastAsia="pt-BR"/>
        </w:rPr>
        <w:t>que não só apresenta os achados, as conclusões e as propostas d</w:t>
      </w:r>
      <w:r w:rsidR="002D7093">
        <w:rPr>
          <w:rFonts w:ascii="Times New Roman" w:eastAsia="Times New Roman" w:hAnsi="Times New Roman" w:cs="Times New Roman"/>
          <w:color w:val="000000"/>
          <w:sz w:val="24"/>
          <w:szCs w:val="24"/>
          <w:lang w:eastAsia="pt-BR"/>
        </w:rPr>
        <w:t xml:space="preserve">e encaminhamento da equipe, mas </w:t>
      </w:r>
      <w:r w:rsidRPr="00010879">
        <w:rPr>
          <w:rFonts w:ascii="Times New Roman" w:eastAsia="Times New Roman" w:hAnsi="Times New Roman" w:cs="Times New Roman"/>
          <w:color w:val="000000"/>
          <w:sz w:val="24"/>
          <w:szCs w:val="24"/>
          <w:lang w:eastAsia="pt-BR"/>
        </w:rPr>
        <w:t>também a perspe</w:t>
      </w:r>
      <w:r w:rsidR="002D7093">
        <w:rPr>
          <w:rFonts w:ascii="Times New Roman" w:eastAsia="Times New Roman" w:hAnsi="Times New Roman" w:cs="Times New Roman"/>
          <w:color w:val="000000"/>
          <w:sz w:val="24"/>
          <w:szCs w:val="24"/>
          <w:lang w:eastAsia="pt-BR"/>
        </w:rPr>
        <w:t>ctiva dos dirigentes do órgão</w:t>
      </w:r>
      <w:r w:rsidRPr="00010879">
        <w:rPr>
          <w:rFonts w:ascii="Times New Roman" w:eastAsia="Times New Roman" w:hAnsi="Times New Roman" w:cs="Times New Roman"/>
          <w:color w:val="000000"/>
          <w:sz w:val="24"/>
          <w:szCs w:val="24"/>
          <w:lang w:eastAsia="pt-BR"/>
        </w:rPr>
        <w:t xml:space="preserve"> e as ações co</w:t>
      </w:r>
      <w:r w:rsidR="002D7093">
        <w:rPr>
          <w:rFonts w:ascii="Times New Roman" w:eastAsia="Times New Roman" w:hAnsi="Times New Roman" w:cs="Times New Roman"/>
          <w:color w:val="000000"/>
          <w:sz w:val="24"/>
          <w:szCs w:val="24"/>
          <w:lang w:eastAsia="pt-BR"/>
        </w:rPr>
        <w:t>rretivas que pretendem adotar</w:t>
      </w:r>
      <w:r w:rsidRPr="00010879">
        <w:rPr>
          <w:rFonts w:ascii="Times New Roman" w:eastAsia="Times New Roman" w:hAnsi="Times New Roman" w:cs="Times New Roman"/>
          <w:color w:val="000000"/>
          <w:sz w:val="24"/>
          <w:szCs w:val="24"/>
          <w:lang w:eastAsia="pt-BR"/>
        </w:rPr>
        <w:t>.</w:t>
      </w:r>
      <w:r w:rsidR="002D7093">
        <w:rPr>
          <w:rFonts w:ascii="Times New Roman" w:eastAsia="Times New Roman" w:hAnsi="Times New Roman" w:cs="Times New Roman"/>
          <w:color w:val="000000"/>
          <w:sz w:val="24"/>
          <w:szCs w:val="24"/>
          <w:lang w:eastAsia="pt-BR"/>
        </w:rPr>
        <w:t xml:space="preserve"> </w:t>
      </w:r>
    </w:p>
    <w:p w14:paraId="3E3B13A1" w14:textId="77777777" w:rsidR="001F2898" w:rsidRDefault="00EE5EE3" w:rsidP="0082044C">
      <w:pPr>
        <w:autoSpaceDE w:val="0"/>
        <w:autoSpaceDN w:val="0"/>
        <w:adjustRightInd w:val="0"/>
        <w:spacing w:before="240"/>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Ao concluir </w:t>
      </w:r>
      <w:r w:rsidR="002D7093">
        <w:rPr>
          <w:rFonts w:ascii="Times New Roman" w:eastAsia="Times New Roman" w:hAnsi="Times New Roman" w:cs="Times New Roman"/>
          <w:color w:val="000000"/>
          <w:sz w:val="24"/>
          <w:szCs w:val="24"/>
          <w:lang w:eastAsia="pt-BR"/>
        </w:rPr>
        <w:t>os trabalhos, não foram identificadas ocorrências classificadas como achados significativos, no entanto, c</w:t>
      </w:r>
      <w:r w:rsidR="00496558" w:rsidRPr="00010879">
        <w:rPr>
          <w:rFonts w:ascii="Times New Roman" w:eastAsia="Times New Roman" w:hAnsi="Times New Roman" w:cs="Times New Roman"/>
          <w:color w:val="000000"/>
          <w:sz w:val="24"/>
          <w:szCs w:val="24"/>
          <w:lang w:eastAsia="pt-BR"/>
        </w:rPr>
        <w:t>onsiderando</w:t>
      </w:r>
      <w:r w:rsidR="00AB576D" w:rsidRPr="00010879">
        <w:rPr>
          <w:rFonts w:ascii="Times New Roman" w:eastAsia="Times New Roman" w:hAnsi="Times New Roman" w:cs="Times New Roman"/>
          <w:color w:val="000000"/>
          <w:sz w:val="24"/>
          <w:szCs w:val="24"/>
          <w:lang w:eastAsia="pt-BR"/>
        </w:rPr>
        <w:t>-se</w:t>
      </w:r>
      <w:r w:rsidR="00496558" w:rsidRPr="00010879">
        <w:rPr>
          <w:rFonts w:ascii="Times New Roman" w:eastAsia="Times New Roman" w:hAnsi="Times New Roman" w:cs="Times New Roman"/>
          <w:color w:val="000000"/>
          <w:sz w:val="24"/>
          <w:szCs w:val="24"/>
          <w:lang w:eastAsia="pt-BR"/>
        </w:rPr>
        <w:t xml:space="preserve"> as deficiências significativas de controle interno (Seção 4), a seguir, são apresentados os comentários dos gestores, bem como análise da equipe de auditoria.</w:t>
      </w:r>
    </w:p>
    <w:p w14:paraId="096C0EE8" w14:textId="77777777" w:rsidR="00575AB5" w:rsidRPr="00010879" w:rsidRDefault="00575AB5" w:rsidP="0082044C">
      <w:pPr>
        <w:autoSpaceDE w:val="0"/>
        <w:autoSpaceDN w:val="0"/>
        <w:adjustRightInd w:val="0"/>
        <w:spacing w:before="240"/>
        <w:ind w:firstLine="708"/>
        <w:jc w:val="both"/>
        <w:rPr>
          <w:rFonts w:ascii="Times New Roman" w:eastAsia="Times New Roman" w:hAnsi="Times New Roman" w:cs="Times New Roman"/>
          <w:color w:val="000000"/>
          <w:sz w:val="24"/>
          <w:szCs w:val="24"/>
          <w:lang w:eastAsia="pt-BR"/>
        </w:rPr>
      </w:pPr>
    </w:p>
    <w:p w14:paraId="7B6CEAFD" w14:textId="6C45EC06" w:rsidR="00366439" w:rsidRPr="00DB09B9" w:rsidRDefault="00575AB5" w:rsidP="00896F60">
      <w:pPr>
        <w:pStyle w:val="PargrafodaLista"/>
        <w:numPr>
          <w:ilvl w:val="1"/>
          <w:numId w:val="62"/>
        </w:numPr>
        <w:ind w:left="426"/>
        <w:jc w:val="both"/>
        <w:rPr>
          <w:rFonts w:ascii="Times New Roman" w:eastAsia="Times New Roman" w:hAnsi="Times New Roman" w:cs="Times New Roman"/>
          <w:b/>
          <w:bCs/>
          <w:color w:val="000000"/>
          <w:sz w:val="24"/>
          <w:szCs w:val="24"/>
          <w:lang w:eastAsia="pt-BR"/>
        </w:rPr>
      </w:pPr>
      <w:r w:rsidRPr="00DB09B9">
        <w:rPr>
          <w:rFonts w:ascii="Times New Roman" w:eastAsia="Times New Roman" w:hAnsi="Times New Roman" w:cs="Times New Roman"/>
          <w:b/>
          <w:bCs/>
          <w:color w:val="000000"/>
          <w:sz w:val="24"/>
          <w:szCs w:val="24"/>
          <w:lang w:eastAsia="pt-BR"/>
        </w:rPr>
        <w:t>Bens de pequeno valor registrado no ativo do Tribunal e da SJMG</w:t>
      </w:r>
    </w:p>
    <w:p w14:paraId="7E02AA1E" w14:textId="77777777" w:rsidR="00DB09B9" w:rsidRDefault="00DB09B9" w:rsidP="00896F60">
      <w:pPr>
        <w:ind w:left="426" w:firstLine="0"/>
        <w:jc w:val="both"/>
        <w:rPr>
          <w:rStyle w:val="Forte"/>
          <w:rFonts w:ascii="Times New Roman" w:hAnsi="Times New Roman" w:cs="Times New Roman"/>
          <w:color w:val="000000"/>
          <w:sz w:val="24"/>
          <w:szCs w:val="24"/>
        </w:rPr>
      </w:pPr>
    </w:p>
    <w:p w14:paraId="574424D5" w14:textId="7CFFD7B1" w:rsidR="00DB09B9" w:rsidRPr="00DB09B9" w:rsidRDefault="00DB09B9" w:rsidP="00896F60">
      <w:pPr>
        <w:ind w:firstLine="0"/>
        <w:jc w:val="both"/>
        <w:rPr>
          <w:rFonts w:ascii="Times New Roman" w:hAnsi="Times New Roman" w:cs="Times New Roman"/>
        </w:rPr>
      </w:pPr>
      <w:r w:rsidRPr="00DB09B9">
        <w:rPr>
          <w:rStyle w:val="Forte"/>
          <w:rFonts w:ascii="Times New Roman" w:hAnsi="Times New Roman" w:cs="Times New Roman"/>
          <w:color w:val="000000"/>
          <w:sz w:val="24"/>
          <w:szCs w:val="24"/>
        </w:rPr>
        <w:t>4.2. </w:t>
      </w:r>
      <w:r w:rsidRPr="00DB09B9">
        <w:rPr>
          <w:rFonts w:ascii="Times New Roman" w:eastAsia="Times New Roman" w:hAnsi="Times New Roman" w:cs="Times New Roman"/>
          <w:b/>
          <w:bCs/>
          <w:color w:val="000000"/>
          <w:sz w:val="24"/>
          <w:szCs w:val="24"/>
          <w:lang w:eastAsia="pt-BR"/>
        </w:rPr>
        <w:t xml:space="preserve">Baixa de bens não localizados sem observância integral dos procedimentos previstos na </w:t>
      </w:r>
      <w:proofErr w:type="spellStart"/>
      <w:r w:rsidRPr="00DB09B9">
        <w:rPr>
          <w:rFonts w:ascii="Times New Roman" w:eastAsia="Times New Roman" w:hAnsi="Times New Roman" w:cs="Times New Roman"/>
          <w:b/>
          <w:bCs/>
          <w:color w:val="000000"/>
          <w:sz w:val="24"/>
          <w:szCs w:val="24"/>
          <w:lang w:eastAsia="pt-BR"/>
        </w:rPr>
        <w:t>Macrofunção</w:t>
      </w:r>
      <w:proofErr w:type="spellEnd"/>
      <w:r w:rsidRPr="00DB09B9">
        <w:rPr>
          <w:rFonts w:ascii="Times New Roman" w:eastAsia="Times New Roman" w:hAnsi="Times New Roman" w:cs="Times New Roman"/>
          <w:b/>
          <w:bCs/>
          <w:color w:val="000000"/>
          <w:sz w:val="24"/>
          <w:szCs w:val="24"/>
          <w:lang w:eastAsia="pt-BR"/>
        </w:rPr>
        <w:t xml:space="preserve"> SIAFI 020330 e da IN 14-15 do TRF1</w:t>
      </w:r>
    </w:p>
    <w:p w14:paraId="1C7FF482" w14:textId="77777777" w:rsidR="00715DFF" w:rsidRDefault="00AC207A" w:rsidP="00715DFF">
      <w:pPr>
        <w:spacing w:before="240"/>
        <w:ind w:right="120" w:firstLine="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COMENTÁRIOS DOS GESTORES</w:t>
      </w:r>
    </w:p>
    <w:p w14:paraId="73D3D7CB" w14:textId="7EE6C834" w:rsidR="000948BA" w:rsidRDefault="00715DFF" w:rsidP="000948BA">
      <w:pPr>
        <w:spacing w:before="240"/>
        <w:ind w:right="120" w:firstLine="708"/>
        <w:jc w:val="both"/>
        <w:rPr>
          <w:rStyle w:val="Forte"/>
          <w:rFonts w:ascii="Times New Roman" w:eastAsia="Times New Roman" w:hAnsi="Times New Roman" w:cs="Times New Roman"/>
          <w:b w:val="0"/>
          <w:bCs w:val="0"/>
          <w:color w:val="000000"/>
          <w:sz w:val="24"/>
          <w:szCs w:val="24"/>
          <w:lang w:eastAsia="pt-BR"/>
        </w:rPr>
      </w:pPr>
      <w:r>
        <w:rPr>
          <w:rStyle w:val="Forte"/>
          <w:rFonts w:ascii="Times New Roman" w:eastAsia="Times New Roman" w:hAnsi="Times New Roman" w:cs="Times New Roman"/>
          <w:b w:val="0"/>
          <w:bCs w:val="0"/>
          <w:color w:val="000000"/>
          <w:sz w:val="24"/>
          <w:szCs w:val="24"/>
          <w:lang w:eastAsia="pt-BR"/>
        </w:rPr>
        <w:t xml:space="preserve">Por meio da </w:t>
      </w:r>
      <w:r w:rsidR="006A6E35">
        <w:rPr>
          <w:rStyle w:val="Forte"/>
          <w:rFonts w:ascii="Times New Roman" w:eastAsia="Times New Roman" w:hAnsi="Times New Roman" w:cs="Times New Roman"/>
          <w:b w:val="0"/>
          <w:bCs w:val="0"/>
          <w:color w:val="000000"/>
          <w:sz w:val="24"/>
          <w:szCs w:val="24"/>
          <w:lang w:eastAsia="pt-BR"/>
        </w:rPr>
        <w:t>Manifestação</w:t>
      </w:r>
      <w:r w:rsidR="00501224">
        <w:rPr>
          <w:rStyle w:val="Forte"/>
          <w:rFonts w:ascii="Times New Roman" w:eastAsia="Times New Roman" w:hAnsi="Times New Roman" w:cs="Times New Roman"/>
          <w:b w:val="0"/>
          <w:bCs w:val="0"/>
          <w:color w:val="000000"/>
          <w:sz w:val="24"/>
          <w:szCs w:val="24"/>
          <w:lang w:eastAsia="pt-BR"/>
        </w:rPr>
        <w:t xml:space="preserve"> </w:t>
      </w:r>
      <w:r>
        <w:rPr>
          <w:rStyle w:val="Forte"/>
          <w:rFonts w:ascii="Times New Roman" w:eastAsia="Times New Roman" w:hAnsi="Times New Roman" w:cs="Times New Roman"/>
          <w:b w:val="0"/>
          <w:bCs w:val="0"/>
          <w:color w:val="000000"/>
          <w:sz w:val="24"/>
          <w:szCs w:val="24"/>
          <w:lang w:eastAsia="pt-BR"/>
        </w:rPr>
        <w:t>SEMAP (id.</w:t>
      </w:r>
      <w:r w:rsidR="00501224" w:rsidRPr="00501224">
        <w:t xml:space="preserve"> </w:t>
      </w:r>
      <w:r w:rsidR="00501224" w:rsidRPr="00501224">
        <w:rPr>
          <w:rStyle w:val="Forte"/>
          <w:rFonts w:ascii="Times New Roman" w:eastAsia="Times New Roman" w:hAnsi="Times New Roman" w:cs="Times New Roman"/>
          <w:b w:val="0"/>
          <w:bCs w:val="0"/>
          <w:color w:val="000000"/>
          <w:sz w:val="24"/>
          <w:szCs w:val="24"/>
          <w:lang w:eastAsia="pt-BR"/>
        </w:rPr>
        <w:t>1564705</w:t>
      </w:r>
      <w:r>
        <w:rPr>
          <w:rStyle w:val="Forte"/>
          <w:rFonts w:ascii="Times New Roman" w:eastAsia="Times New Roman" w:hAnsi="Times New Roman" w:cs="Times New Roman"/>
          <w:b w:val="0"/>
          <w:bCs w:val="0"/>
          <w:color w:val="000000"/>
          <w:sz w:val="24"/>
          <w:szCs w:val="24"/>
          <w:lang w:eastAsia="pt-BR"/>
        </w:rPr>
        <w:t xml:space="preserve">), a unidade auditada </w:t>
      </w:r>
      <w:r w:rsidR="00501224">
        <w:rPr>
          <w:rStyle w:val="Forte"/>
          <w:rFonts w:ascii="Times New Roman" w:eastAsia="Times New Roman" w:hAnsi="Times New Roman" w:cs="Times New Roman"/>
          <w:b w:val="0"/>
          <w:bCs w:val="0"/>
          <w:color w:val="000000"/>
          <w:sz w:val="24"/>
          <w:szCs w:val="24"/>
          <w:lang w:eastAsia="pt-BR"/>
        </w:rPr>
        <w:t>apresentou o seguinte esclarecimento:</w:t>
      </w:r>
    </w:p>
    <w:p w14:paraId="2B1F8D99" w14:textId="23BA1D1F" w:rsidR="00501224" w:rsidRPr="00501224" w:rsidRDefault="00B57F18" w:rsidP="00FC166B">
      <w:pPr>
        <w:ind w:left="2124" w:right="119" w:firstLine="0"/>
        <w:jc w:val="both"/>
        <w:rPr>
          <w:rFonts w:ascii="Times New Roman" w:eastAsia="Times New Roman" w:hAnsi="Times New Roman" w:cs="Times New Roman"/>
          <w:color w:val="000000"/>
          <w:sz w:val="20"/>
          <w:szCs w:val="20"/>
          <w:lang w:eastAsia="pt-BR"/>
        </w:rPr>
      </w:pPr>
      <w:r w:rsidRPr="00B57F18">
        <w:rPr>
          <w:rStyle w:val="Forte"/>
          <w:rFonts w:ascii="Times New Roman" w:eastAsia="Times New Roman" w:hAnsi="Times New Roman" w:cs="Times New Roman"/>
          <w:b w:val="0"/>
          <w:bCs w:val="0"/>
          <w:color w:val="000000"/>
          <w:sz w:val="20"/>
          <w:szCs w:val="20"/>
          <w:lang w:eastAsia="pt-BR"/>
        </w:rPr>
        <w:t>“</w:t>
      </w:r>
      <w:r w:rsidR="00501224" w:rsidRPr="00501224">
        <w:rPr>
          <w:rFonts w:ascii="Times New Roman" w:eastAsia="Times New Roman" w:hAnsi="Times New Roman" w:cs="Times New Roman"/>
          <w:color w:val="000000"/>
          <w:sz w:val="20"/>
          <w:szCs w:val="20"/>
          <w:lang w:eastAsia="pt-BR"/>
        </w:rPr>
        <w:t>Em atendimento ao despacho de Vossa Senhoria, encaminho, de forma imediata, o presente processo à SEMAP para adoção das providências cabíveis, visando ao atendimento das solicitações e das notas de auditoria ainda pendentes, conforme sintetizado no Relatório Preliminar de Comunicações de Distorções – documento SEI nº </w:t>
      </w:r>
      <w:r w:rsidR="00501224" w:rsidRPr="00B7185F">
        <w:rPr>
          <w:rFonts w:ascii="Times New Roman" w:eastAsia="Times New Roman" w:hAnsi="Times New Roman" w:cs="Times New Roman"/>
          <w:color w:val="000000"/>
          <w:sz w:val="20"/>
          <w:szCs w:val="20"/>
          <w:lang w:eastAsia="pt-BR"/>
        </w:rPr>
        <w:t>1527726</w:t>
      </w:r>
      <w:r w:rsidR="00501224" w:rsidRPr="00501224">
        <w:rPr>
          <w:rFonts w:ascii="Times New Roman" w:eastAsia="Times New Roman" w:hAnsi="Times New Roman" w:cs="Times New Roman"/>
          <w:color w:val="000000"/>
          <w:sz w:val="20"/>
          <w:szCs w:val="20"/>
          <w:lang w:eastAsia="pt-BR"/>
        </w:rPr>
        <w:t>.</w:t>
      </w:r>
    </w:p>
    <w:p w14:paraId="7487FF42" w14:textId="2084E27B" w:rsidR="00501224" w:rsidRPr="00501224" w:rsidRDefault="00501224" w:rsidP="00FC166B">
      <w:pPr>
        <w:ind w:left="2124" w:right="119" w:firstLine="0"/>
        <w:jc w:val="both"/>
        <w:rPr>
          <w:rFonts w:ascii="Times New Roman" w:eastAsia="Times New Roman" w:hAnsi="Times New Roman" w:cs="Times New Roman"/>
          <w:color w:val="000000"/>
          <w:sz w:val="20"/>
          <w:szCs w:val="20"/>
          <w:lang w:eastAsia="pt-BR"/>
        </w:rPr>
      </w:pPr>
      <w:r w:rsidRPr="00501224">
        <w:rPr>
          <w:rFonts w:ascii="Times New Roman" w:eastAsia="Times New Roman" w:hAnsi="Times New Roman" w:cs="Times New Roman"/>
          <w:color w:val="000000"/>
          <w:sz w:val="20"/>
          <w:szCs w:val="20"/>
          <w:lang w:eastAsia="pt-BR"/>
        </w:rPr>
        <w:t>Cumpre destacar, contudo, que o atual cenário de pessoal da SEMAP é crítico, uma vez que, em 1º de novembro, a unidade perdeu dois servidores ocupantes do cargo de Agente da Polícia Judicial, em cumprimento à Portaria PRESI nº 73/2024 – documento SEI nº 1329944, que determinou a remoção dos referidos servidores para retorno à COSIT.</w:t>
      </w:r>
    </w:p>
    <w:p w14:paraId="205872EA" w14:textId="5A1B8ED6" w:rsidR="00501224" w:rsidRPr="00501224" w:rsidRDefault="00501224" w:rsidP="00FC166B">
      <w:pPr>
        <w:ind w:left="2124" w:right="119" w:firstLine="0"/>
        <w:jc w:val="both"/>
        <w:rPr>
          <w:rFonts w:ascii="Times New Roman" w:eastAsia="Times New Roman" w:hAnsi="Times New Roman" w:cs="Times New Roman"/>
          <w:color w:val="000000"/>
          <w:sz w:val="20"/>
          <w:szCs w:val="20"/>
          <w:lang w:eastAsia="pt-BR"/>
        </w:rPr>
      </w:pPr>
      <w:r w:rsidRPr="00501224">
        <w:rPr>
          <w:rFonts w:ascii="Times New Roman" w:eastAsia="Times New Roman" w:hAnsi="Times New Roman" w:cs="Times New Roman"/>
          <w:color w:val="000000"/>
          <w:sz w:val="20"/>
          <w:szCs w:val="20"/>
          <w:lang w:eastAsia="pt-BR"/>
        </w:rPr>
        <w:t>À época, restou demonstrado que a saída desses servidores representaria fator adicional de precarização das atividades da unidade, com significativo impacto negativo na capacidade de cumprimento das entregas previstas, conforme registrado no processo SEI nº 0011585-28.2025.4.06.8000.</w:t>
      </w:r>
    </w:p>
    <w:p w14:paraId="7C3D3479" w14:textId="2EEBC182" w:rsidR="00501224" w:rsidRPr="00501224" w:rsidRDefault="00501224" w:rsidP="00FC166B">
      <w:pPr>
        <w:ind w:left="2124" w:right="119" w:firstLine="0"/>
        <w:jc w:val="both"/>
        <w:rPr>
          <w:rFonts w:ascii="Times New Roman" w:eastAsia="Times New Roman" w:hAnsi="Times New Roman" w:cs="Times New Roman"/>
          <w:color w:val="000000"/>
          <w:sz w:val="20"/>
          <w:szCs w:val="20"/>
          <w:lang w:eastAsia="pt-BR"/>
        </w:rPr>
      </w:pPr>
      <w:r w:rsidRPr="00501224">
        <w:rPr>
          <w:rFonts w:ascii="Times New Roman" w:eastAsia="Times New Roman" w:hAnsi="Times New Roman" w:cs="Times New Roman"/>
          <w:color w:val="000000"/>
          <w:sz w:val="20"/>
          <w:szCs w:val="20"/>
          <w:lang w:eastAsia="pt-BR"/>
        </w:rPr>
        <w:t>Ressalte-se, ainda, que, por restrições orçamentárias, deliberou-se pela postergação da contratação do sistema integrado de gestão patrimonial para toda a 6ª Região, conforme processo SEI nº 0014257-77.2023.4.06.8000.</w:t>
      </w:r>
    </w:p>
    <w:p w14:paraId="5313125F" w14:textId="77777777" w:rsidR="00501224" w:rsidRPr="00501224" w:rsidRDefault="00501224" w:rsidP="00FC166B">
      <w:pPr>
        <w:ind w:left="2124" w:right="119" w:firstLine="0"/>
        <w:jc w:val="both"/>
        <w:rPr>
          <w:rFonts w:ascii="Times New Roman" w:eastAsia="Times New Roman" w:hAnsi="Times New Roman" w:cs="Times New Roman"/>
          <w:color w:val="000000"/>
          <w:sz w:val="20"/>
          <w:szCs w:val="20"/>
          <w:lang w:eastAsia="pt-BR"/>
        </w:rPr>
      </w:pPr>
      <w:r w:rsidRPr="00501224">
        <w:rPr>
          <w:rFonts w:ascii="Times New Roman" w:eastAsia="Times New Roman" w:hAnsi="Times New Roman" w:cs="Times New Roman"/>
          <w:color w:val="000000"/>
          <w:sz w:val="20"/>
          <w:szCs w:val="20"/>
          <w:lang w:eastAsia="pt-BR"/>
        </w:rPr>
        <w:t>Atualmente, o patrimônio da 6ª Região é composto por </w:t>
      </w:r>
      <w:r w:rsidRPr="00501224">
        <w:rPr>
          <w:rFonts w:ascii="Times New Roman" w:eastAsia="Times New Roman" w:hAnsi="Times New Roman" w:cs="Times New Roman"/>
          <w:b/>
          <w:bCs/>
          <w:color w:val="000000"/>
          <w:sz w:val="20"/>
          <w:szCs w:val="20"/>
          <w:lang w:eastAsia="pt-BR"/>
        </w:rPr>
        <w:t>mais de 100.000 itens</w:t>
      </w:r>
      <w:r w:rsidRPr="00501224">
        <w:rPr>
          <w:rFonts w:ascii="Times New Roman" w:eastAsia="Times New Roman" w:hAnsi="Times New Roman" w:cs="Times New Roman"/>
          <w:color w:val="000000"/>
          <w:sz w:val="20"/>
          <w:szCs w:val="20"/>
          <w:lang w:eastAsia="pt-BR"/>
        </w:rPr>
        <w:t>, os quais vêm sendo administrados por meio de sistema legado do 1º grau, herdado do antigo TRF1, notoriamente desatualizado e que não contempla a integralidade dos bens do Tribunal. Em razão dessa limitação, os lançamentos contábeis sob responsabilidade da SEMAP, inclusive aqueles relativos à depreciação, vêm sendo realizados de forma precária, mediante planilhas eletrônicas e controles manuais.</w:t>
      </w:r>
    </w:p>
    <w:p w14:paraId="1DB4AFA3" w14:textId="77777777" w:rsidR="00501224" w:rsidRPr="00501224" w:rsidRDefault="00501224" w:rsidP="00FC166B">
      <w:pPr>
        <w:ind w:left="2124" w:right="119" w:firstLine="0"/>
        <w:jc w:val="both"/>
        <w:rPr>
          <w:rFonts w:ascii="Times New Roman" w:eastAsia="Times New Roman" w:hAnsi="Times New Roman" w:cs="Times New Roman"/>
          <w:color w:val="000000"/>
          <w:sz w:val="20"/>
          <w:szCs w:val="20"/>
          <w:lang w:eastAsia="pt-BR"/>
        </w:rPr>
      </w:pPr>
      <w:r w:rsidRPr="00501224">
        <w:rPr>
          <w:rFonts w:ascii="Times New Roman" w:eastAsia="Times New Roman" w:hAnsi="Times New Roman" w:cs="Times New Roman"/>
          <w:color w:val="000000"/>
          <w:sz w:val="20"/>
          <w:szCs w:val="20"/>
          <w:lang w:eastAsia="pt-BR"/>
        </w:rPr>
        <w:t>O cenário exposto é de elevada preocupação, não podendo subsistir indefinidamente, sob pena de risco concreto de rejeição das contas deste Tribunal pelos órgãos de controle externo, em razão de eventuais inconsistências nos registros patrimoniais.</w:t>
      </w:r>
    </w:p>
    <w:p w14:paraId="37C2D3FC" w14:textId="77777777" w:rsidR="00501224" w:rsidRPr="00501224" w:rsidRDefault="00501224" w:rsidP="00FC166B">
      <w:pPr>
        <w:ind w:left="2124" w:right="119" w:firstLine="0"/>
        <w:jc w:val="both"/>
        <w:rPr>
          <w:rFonts w:ascii="Times New Roman" w:eastAsia="Times New Roman" w:hAnsi="Times New Roman" w:cs="Times New Roman"/>
          <w:color w:val="000000"/>
          <w:sz w:val="20"/>
          <w:szCs w:val="20"/>
          <w:lang w:eastAsia="pt-BR"/>
        </w:rPr>
      </w:pPr>
      <w:r w:rsidRPr="00501224">
        <w:rPr>
          <w:rFonts w:ascii="Times New Roman" w:eastAsia="Times New Roman" w:hAnsi="Times New Roman" w:cs="Times New Roman"/>
          <w:color w:val="000000"/>
          <w:sz w:val="20"/>
          <w:szCs w:val="20"/>
          <w:lang w:eastAsia="pt-BR"/>
        </w:rPr>
        <w:t>Reitero que procederei ao imediato encaminhamento dos autos à SEMAP, para que sejam realizados os lançamentos possíveis, consideradas as limitações estruturais ora expostas.</w:t>
      </w:r>
    </w:p>
    <w:p w14:paraId="484B473C" w14:textId="77777777" w:rsidR="00501224" w:rsidRPr="00501224" w:rsidRDefault="00501224" w:rsidP="00FC166B">
      <w:pPr>
        <w:ind w:left="2124" w:right="119" w:firstLine="0"/>
        <w:jc w:val="both"/>
        <w:rPr>
          <w:rFonts w:ascii="Times New Roman" w:eastAsia="Times New Roman" w:hAnsi="Times New Roman" w:cs="Times New Roman"/>
          <w:color w:val="000000"/>
          <w:sz w:val="20"/>
          <w:szCs w:val="20"/>
          <w:lang w:eastAsia="pt-BR"/>
        </w:rPr>
      </w:pPr>
      <w:r w:rsidRPr="00501224">
        <w:rPr>
          <w:rFonts w:ascii="Times New Roman" w:eastAsia="Times New Roman" w:hAnsi="Times New Roman" w:cs="Times New Roman"/>
          <w:color w:val="000000"/>
          <w:sz w:val="20"/>
          <w:szCs w:val="20"/>
          <w:lang w:eastAsia="pt-BR"/>
        </w:rPr>
        <w:t>Sem mais para o momento, permanecemos à disposição e envidando esforços para a regularização dos registros patrimoniais da 6ª Região.</w:t>
      </w:r>
    </w:p>
    <w:p w14:paraId="0AF896BA" w14:textId="0BE7DFFA" w:rsidR="00501224" w:rsidRPr="00501224" w:rsidRDefault="00501224" w:rsidP="00FC166B">
      <w:pPr>
        <w:ind w:left="1413" w:right="119"/>
        <w:jc w:val="both"/>
        <w:rPr>
          <w:rFonts w:ascii="Times New Roman" w:eastAsia="Times New Roman" w:hAnsi="Times New Roman" w:cs="Times New Roman"/>
          <w:color w:val="000000"/>
          <w:sz w:val="20"/>
          <w:szCs w:val="20"/>
          <w:lang w:eastAsia="pt-BR"/>
        </w:rPr>
      </w:pPr>
      <w:r w:rsidRPr="00501224">
        <w:rPr>
          <w:rFonts w:ascii="Times New Roman" w:eastAsia="Times New Roman" w:hAnsi="Times New Roman" w:cs="Times New Roman"/>
          <w:color w:val="000000"/>
          <w:sz w:val="20"/>
          <w:szCs w:val="20"/>
          <w:lang w:eastAsia="pt-BR"/>
        </w:rPr>
        <w:t>À SEMAP para as providências.</w:t>
      </w:r>
      <w:r>
        <w:rPr>
          <w:rFonts w:ascii="Times New Roman" w:eastAsia="Times New Roman" w:hAnsi="Times New Roman" w:cs="Times New Roman"/>
          <w:color w:val="000000"/>
          <w:sz w:val="20"/>
          <w:szCs w:val="20"/>
          <w:lang w:eastAsia="pt-BR"/>
        </w:rPr>
        <w:t>”</w:t>
      </w:r>
    </w:p>
    <w:p w14:paraId="4A5DE197" w14:textId="77777777" w:rsidR="00563065" w:rsidRDefault="00563065" w:rsidP="00AC71E2">
      <w:pPr>
        <w:ind w:right="119" w:firstLine="0"/>
        <w:jc w:val="both"/>
        <w:rPr>
          <w:rFonts w:ascii="Times New Roman" w:hAnsi="Times New Roman" w:cs="Times New Roman"/>
          <w:color w:val="000000"/>
          <w:sz w:val="20"/>
          <w:szCs w:val="20"/>
        </w:rPr>
      </w:pPr>
    </w:p>
    <w:p w14:paraId="0EA44B2E" w14:textId="77777777" w:rsidR="00F93D63" w:rsidRDefault="00973327" w:rsidP="00F93D63">
      <w:pPr>
        <w:spacing w:before="240"/>
        <w:ind w:right="120" w:firstLine="0"/>
        <w:jc w:val="both"/>
        <w:rPr>
          <w:rFonts w:ascii="Times New Roman" w:eastAsia="Times New Roman" w:hAnsi="Times New Roman" w:cs="Times New Roman"/>
          <w:b/>
          <w:bCs/>
          <w:color w:val="000000"/>
          <w:sz w:val="24"/>
          <w:szCs w:val="24"/>
          <w:lang w:eastAsia="pt-BR"/>
        </w:rPr>
      </w:pPr>
      <w:r w:rsidRPr="00F358B5">
        <w:rPr>
          <w:rFonts w:ascii="Times New Roman" w:eastAsia="Times New Roman" w:hAnsi="Times New Roman" w:cs="Times New Roman"/>
          <w:b/>
          <w:bCs/>
          <w:color w:val="000000"/>
          <w:sz w:val="24"/>
          <w:szCs w:val="24"/>
          <w:lang w:eastAsia="pt-BR"/>
        </w:rPr>
        <w:t>ANÁLISE DA EQUIPE DE AUDITORIA</w:t>
      </w:r>
    </w:p>
    <w:p w14:paraId="44AD5905" w14:textId="032A8B63" w:rsidR="000148ED" w:rsidRDefault="009F52A3" w:rsidP="009F52A3">
      <w:pPr>
        <w:spacing w:before="240"/>
        <w:ind w:right="120" w:firstLine="708"/>
        <w:jc w:val="both"/>
        <w:rPr>
          <w:rFonts w:ascii="Times New Roman" w:eastAsia="Times New Roman" w:hAnsi="Times New Roman" w:cs="Times New Roman"/>
          <w:sz w:val="24"/>
          <w:szCs w:val="24"/>
          <w:lang w:eastAsia="pt-BR"/>
        </w:rPr>
      </w:pPr>
      <w:r w:rsidRPr="009F52A3">
        <w:rPr>
          <w:rFonts w:ascii="Times New Roman" w:eastAsia="Times New Roman" w:hAnsi="Times New Roman" w:cs="Times New Roman"/>
          <w:sz w:val="24"/>
          <w:szCs w:val="24"/>
          <w:lang w:eastAsia="pt-BR"/>
        </w:rPr>
        <w:t>A unidade auditada</w:t>
      </w:r>
      <w:r w:rsidR="000148ED">
        <w:rPr>
          <w:rFonts w:ascii="Times New Roman" w:eastAsia="Times New Roman" w:hAnsi="Times New Roman" w:cs="Times New Roman"/>
          <w:sz w:val="24"/>
          <w:szCs w:val="24"/>
          <w:lang w:eastAsia="pt-BR"/>
        </w:rPr>
        <w:t xml:space="preserve"> demonstrou ciência das impropriedades apontadas pela equipe de auditoria</w:t>
      </w:r>
      <w:r w:rsidRPr="009F52A3">
        <w:rPr>
          <w:rFonts w:ascii="Times New Roman" w:eastAsia="Times New Roman" w:hAnsi="Times New Roman" w:cs="Times New Roman"/>
          <w:sz w:val="24"/>
          <w:szCs w:val="24"/>
          <w:lang w:eastAsia="pt-BR"/>
        </w:rPr>
        <w:t xml:space="preserve"> </w:t>
      </w:r>
      <w:r w:rsidR="000148ED">
        <w:rPr>
          <w:rFonts w:ascii="Times New Roman" w:eastAsia="Times New Roman" w:hAnsi="Times New Roman" w:cs="Times New Roman"/>
          <w:sz w:val="24"/>
          <w:szCs w:val="24"/>
          <w:lang w:eastAsia="pt-BR"/>
        </w:rPr>
        <w:t xml:space="preserve">e </w:t>
      </w:r>
      <w:r w:rsidRPr="009F52A3">
        <w:rPr>
          <w:rFonts w:ascii="Times New Roman" w:eastAsia="Times New Roman" w:hAnsi="Times New Roman" w:cs="Times New Roman"/>
          <w:sz w:val="24"/>
          <w:szCs w:val="24"/>
          <w:lang w:eastAsia="pt-BR"/>
        </w:rPr>
        <w:t xml:space="preserve">apresentou manifestação acerca das limitações estruturais enfrentadas, especialmente no que se refere à insuficiência de pessoal, à defasagem do sistema de controle patrimonial e às </w:t>
      </w:r>
      <w:r w:rsidRPr="009F52A3">
        <w:rPr>
          <w:rFonts w:ascii="Times New Roman" w:eastAsia="Times New Roman" w:hAnsi="Times New Roman" w:cs="Times New Roman"/>
          <w:sz w:val="24"/>
          <w:szCs w:val="24"/>
          <w:lang w:eastAsia="pt-BR"/>
        </w:rPr>
        <w:lastRenderedPageBreak/>
        <w:t>restrições orçamentárias que impactaram a contratação de solução integrada de gestão</w:t>
      </w:r>
      <w:r w:rsidR="005076F0">
        <w:rPr>
          <w:rFonts w:ascii="Times New Roman" w:eastAsia="Times New Roman" w:hAnsi="Times New Roman" w:cs="Times New Roman"/>
          <w:sz w:val="24"/>
          <w:szCs w:val="24"/>
          <w:lang w:eastAsia="pt-BR"/>
        </w:rPr>
        <w:t xml:space="preserve">, </w:t>
      </w:r>
      <w:r w:rsidRPr="009F52A3">
        <w:rPr>
          <w:rFonts w:ascii="Times New Roman" w:eastAsia="Times New Roman" w:hAnsi="Times New Roman" w:cs="Times New Roman"/>
          <w:sz w:val="24"/>
          <w:szCs w:val="24"/>
          <w:lang w:eastAsia="pt-BR"/>
        </w:rPr>
        <w:t xml:space="preserve">aspectos </w:t>
      </w:r>
      <w:r w:rsidR="005076F0">
        <w:rPr>
          <w:rFonts w:ascii="Times New Roman" w:eastAsia="Times New Roman" w:hAnsi="Times New Roman" w:cs="Times New Roman"/>
          <w:sz w:val="24"/>
          <w:szCs w:val="24"/>
          <w:lang w:eastAsia="pt-BR"/>
        </w:rPr>
        <w:t xml:space="preserve">que </w:t>
      </w:r>
      <w:r w:rsidRPr="009F52A3">
        <w:rPr>
          <w:rFonts w:ascii="Times New Roman" w:eastAsia="Times New Roman" w:hAnsi="Times New Roman" w:cs="Times New Roman"/>
          <w:sz w:val="24"/>
          <w:szCs w:val="24"/>
          <w:lang w:eastAsia="pt-BR"/>
        </w:rPr>
        <w:t xml:space="preserve">contribuem </w:t>
      </w:r>
      <w:r w:rsidR="005076F0">
        <w:rPr>
          <w:rFonts w:ascii="Times New Roman" w:eastAsia="Times New Roman" w:hAnsi="Times New Roman" w:cs="Times New Roman"/>
          <w:sz w:val="24"/>
          <w:szCs w:val="24"/>
          <w:lang w:eastAsia="pt-BR"/>
        </w:rPr>
        <w:t xml:space="preserve">para a compreensão do contexto operacional </w:t>
      </w:r>
      <w:r w:rsidRPr="009F52A3">
        <w:rPr>
          <w:rFonts w:ascii="Times New Roman" w:eastAsia="Times New Roman" w:hAnsi="Times New Roman" w:cs="Times New Roman"/>
          <w:sz w:val="24"/>
          <w:szCs w:val="24"/>
          <w:lang w:eastAsia="pt-BR"/>
        </w:rPr>
        <w:t>da área responsável</w:t>
      </w:r>
      <w:r w:rsidR="000148ED">
        <w:rPr>
          <w:rFonts w:ascii="Times New Roman" w:eastAsia="Times New Roman" w:hAnsi="Times New Roman" w:cs="Times New Roman"/>
          <w:sz w:val="24"/>
          <w:szCs w:val="24"/>
          <w:lang w:eastAsia="pt-BR"/>
        </w:rPr>
        <w:t>.</w:t>
      </w:r>
    </w:p>
    <w:p w14:paraId="19343D35" w14:textId="30B0D623" w:rsidR="00973327" w:rsidRDefault="004E3E2F" w:rsidP="000148ED">
      <w:pPr>
        <w:spacing w:before="240"/>
        <w:ind w:right="120"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005076F0">
        <w:rPr>
          <w:rFonts w:ascii="Times New Roman" w:eastAsia="Times New Roman" w:hAnsi="Times New Roman" w:cs="Times New Roman"/>
          <w:sz w:val="24"/>
          <w:szCs w:val="24"/>
          <w:lang w:eastAsia="pt-BR"/>
        </w:rPr>
        <w:t xml:space="preserve">ontudo, </w:t>
      </w:r>
      <w:r w:rsidR="000148ED">
        <w:rPr>
          <w:rFonts w:ascii="Times New Roman" w:eastAsia="Times New Roman" w:hAnsi="Times New Roman" w:cs="Times New Roman"/>
          <w:sz w:val="24"/>
          <w:szCs w:val="24"/>
          <w:lang w:eastAsia="pt-BR"/>
        </w:rPr>
        <w:t xml:space="preserve">a manifestação não </w:t>
      </w:r>
      <w:r w:rsidR="005076F0">
        <w:rPr>
          <w:rFonts w:ascii="Times New Roman" w:eastAsia="Times New Roman" w:hAnsi="Times New Roman" w:cs="Times New Roman"/>
          <w:sz w:val="24"/>
          <w:szCs w:val="24"/>
          <w:lang w:eastAsia="pt-BR"/>
        </w:rPr>
        <w:t xml:space="preserve">abordou </w:t>
      </w:r>
      <w:r w:rsidR="000148ED">
        <w:rPr>
          <w:rFonts w:ascii="Times New Roman" w:eastAsia="Times New Roman" w:hAnsi="Times New Roman" w:cs="Times New Roman"/>
          <w:sz w:val="24"/>
          <w:szCs w:val="24"/>
          <w:lang w:eastAsia="pt-BR"/>
        </w:rPr>
        <w:t xml:space="preserve">de forma específica os achados apontados pela auditoria. </w:t>
      </w:r>
      <w:r w:rsidR="005076F0">
        <w:rPr>
          <w:rFonts w:ascii="Times New Roman" w:eastAsia="Times New Roman" w:hAnsi="Times New Roman" w:cs="Times New Roman"/>
          <w:sz w:val="24"/>
          <w:szCs w:val="24"/>
          <w:lang w:eastAsia="pt-BR"/>
        </w:rPr>
        <w:t>Assim</w:t>
      </w:r>
      <w:r w:rsidR="000148ED">
        <w:rPr>
          <w:rFonts w:ascii="Times New Roman" w:eastAsia="Times New Roman" w:hAnsi="Times New Roman" w:cs="Times New Roman"/>
          <w:sz w:val="24"/>
          <w:szCs w:val="24"/>
          <w:lang w:eastAsia="pt-BR"/>
        </w:rPr>
        <w:t xml:space="preserve">, com vistas ao aprimoramento dos controles e </w:t>
      </w:r>
      <w:r w:rsidR="005076F0">
        <w:rPr>
          <w:rFonts w:ascii="Times New Roman" w:eastAsia="Times New Roman" w:hAnsi="Times New Roman" w:cs="Times New Roman"/>
          <w:sz w:val="24"/>
          <w:szCs w:val="24"/>
          <w:lang w:eastAsia="pt-BR"/>
        </w:rPr>
        <w:t xml:space="preserve">ao </w:t>
      </w:r>
      <w:r w:rsidR="000148ED">
        <w:rPr>
          <w:rFonts w:ascii="Times New Roman" w:eastAsia="Times New Roman" w:hAnsi="Times New Roman" w:cs="Times New Roman"/>
          <w:sz w:val="24"/>
          <w:szCs w:val="24"/>
          <w:lang w:eastAsia="pt-BR"/>
        </w:rPr>
        <w:t xml:space="preserve">adequado tratamento das questões identificadas, a equipe de auditoria reitera, neste relatório, as recomendações constantes no relatório preliminar do comunicações de distorções, as quais </w:t>
      </w:r>
      <w:r w:rsidR="000148ED">
        <w:rPr>
          <w:rFonts w:ascii="Times New Roman" w:hAnsi="Times New Roman" w:cs="Times New Roman"/>
          <w:sz w:val="24"/>
          <w:szCs w:val="24"/>
        </w:rPr>
        <w:t>serão objeto de monitoramento na auditoria de contas anuais do exercício de 2026.</w:t>
      </w:r>
    </w:p>
    <w:p w14:paraId="7D2249BF" w14:textId="77777777" w:rsidR="000148ED" w:rsidRPr="000148ED" w:rsidRDefault="000148ED" w:rsidP="000148ED">
      <w:pPr>
        <w:spacing w:before="240"/>
        <w:ind w:right="120" w:firstLine="708"/>
        <w:jc w:val="both"/>
        <w:rPr>
          <w:rFonts w:ascii="Times New Roman" w:eastAsia="Times New Roman" w:hAnsi="Times New Roman" w:cs="Times New Roman"/>
          <w:sz w:val="24"/>
          <w:szCs w:val="24"/>
          <w:lang w:eastAsia="pt-BR"/>
        </w:rPr>
      </w:pPr>
    </w:p>
    <w:p w14:paraId="041CD6CD" w14:textId="77777777" w:rsidR="00A61C3A" w:rsidRPr="00A61C3A" w:rsidRDefault="00A61C3A" w:rsidP="00963040">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LISTA DE SIGLAS E ABREVIATURAS</w:t>
      </w:r>
    </w:p>
    <w:tbl>
      <w:tblPr>
        <w:tblW w:w="8662" w:type="dxa"/>
        <w:tblCellMar>
          <w:top w:w="15" w:type="dxa"/>
          <w:left w:w="15" w:type="dxa"/>
          <w:bottom w:w="15" w:type="dxa"/>
          <w:right w:w="15" w:type="dxa"/>
        </w:tblCellMar>
        <w:tblLook w:val="04A0" w:firstRow="1" w:lastRow="0" w:firstColumn="1" w:lastColumn="0" w:noHBand="0" w:noVBand="1"/>
      </w:tblPr>
      <w:tblGrid>
        <w:gridCol w:w="8961"/>
        <w:gridCol w:w="36"/>
      </w:tblGrid>
      <w:tr w:rsidR="00A61C3A" w:rsidRPr="00C731A2" w14:paraId="325EA88A" w14:textId="77777777" w:rsidTr="004C5604">
        <w:tc>
          <w:tcPr>
            <w:tcW w:w="7959" w:type="dxa"/>
            <w:vAlign w:val="center"/>
            <w:hideMark/>
          </w:tcPr>
          <w:tbl>
            <w:tblPr>
              <w:tblW w:w="8931" w:type="dxa"/>
              <w:tblCellMar>
                <w:top w:w="15" w:type="dxa"/>
                <w:left w:w="15" w:type="dxa"/>
                <w:bottom w:w="15" w:type="dxa"/>
                <w:right w:w="15" w:type="dxa"/>
              </w:tblCellMar>
              <w:tblLook w:val="04A0" w:firstRow="1" w:lastRow="0" w:firstColumn="1" w:lastColumn="0" w:noHBand="0" w:noVBand="1"/>
            </w:tblPr>
            <w:tblGrid>
              <w:gridCol w:w="1134"/>
              <w:gridCol w:w="7797"/>
            </w:tblGrid>
            <w:tr w:rsidR="007A41BA" w:rsidRPr="00915E91" w14:paraId="523830F3" w14:textId="77777777" w:rsidTr="00CC1C3D">
              <w:tc>
                <w:tcPr>
                  <w:tcW w:w="1134" w:type="dxa"/>
                  <w:vAlign w:val="center"/>
                  <w:hideMark/>
                </w:tcPr>
                <w:p w14:paraId="3BC7583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AICPA</w:t>
                  </w:r>
                </w:p>
              </w:tc>
              <w:tc>
                <w:tcPr>
                  <w:tcW w:w="7797" w:type="dxa"/>
                  <w:vAlign w:val="center"/>
                  <w:hideMark/>
                </w:tcPr>
                <w:p w14:paraId="698FF1B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Instituto dos Auditores Independentes Certificados dos Estados Unidos</w:t>
                  </w:r>
                </w:p>
              </w:tc>
            </w:tr>
            <w:tr w:rsidR="007A41BA" w:rsidRPr="00915E91" w14:paraId="6FFC84CE" w14:textId="77777777" w:rsidTr="00CC1C3D">
              <w:tc>
                <w:tcPr>
                  <w:tcW w:w="1134" w:type="dxa"/>
                  <w:vAlign w:val="center"/>
                </w:tcPr>
                <w:p w14:paraId="50BABAB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ASMAG</w:t>
                  </w:r>
                </w:p>
              </w:tc>
              <w:tc>
                <w:tcPr>
                  <w:tcW w:w="7797" w:type="dxa"/>
                  <w:vAlign w:val="center"/>
                </w:tcPr>
                <w:p w14:paraId="2699A93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Assessoria de Assuntos da Magistratura</w:t>
                  </w:r>
                </w:p>
              </w:tc>
            </w:tr>
            <w:tr w:rsidR="007A41BA" w:rsidRPr="00915E91" w14:paraId="2405BC8C" w14:textId="77777777" w:rsidTr="00CC1C3D">
              <w:tc>
                <w:tcPr>
                  <w:tcW w:w="1134" w:type="dxa"/>
                  <w:vAlign w:val="center"/>
                  <w:hideMark/>
                </w:tcPr>
                <w:p w14:paraId="457FC20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CGU</w:t>
                  </w:r>
                </w:p>
              </w:tc>
              <w:tc>
                <w:tcPr>
                  <w:tcW w:w="7797" w:type="dxa"/>
                  <w:vAlign w:val="center"/>
                  <w:hideMark/>
                </w:tcPr>
                <w:p w14:paraId="514375A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Controladoria Geral da União</w:t>
                  </w:r>
                </w:p>
              </w:tc>
            </w:tr>
            <w:tr w:rsidR="007A41BA" w:rsidRPr="00915E91" w14:paraId="5BCC5980" w14:textId="77777777" w:rsidTr="00CC1C3D">
              <w:tc>
                <w:tcPr>
                  <w:tcW w:w="1134" w:type="dxa"/>
                  <w:vAlign w:val="center"/>
                  <w:hideMark/>
                </w:tcPr>
                <w:p w14:paraId="0B1F0CC5"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CJF</w:t>
                  </w:r>
                </w:p>
              </w:tc>
              <w:tc>
                <w:tcPr>
                  <w:tcW w:w="7797" w:type="dxa"/>
                  <w:vAlign w:val="center"/>
                  <w:hideMark/>
                </w:tcPr>
                <w:p w14:paraId="4139A71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Conselho da Justiça Federal</w:t>
                  </w:r>
                </w:p>
              </w:tc>
            </w:tr>
            <w:tr w:rsidR="007A41BA" w:rsidRPr="00915E91" w14:paraId="7799299A" w14:textId="77777777" w:rsidTr="00CC1C3D">
              <w:tc>
                <w:tcPr>
                  <w:tcW w:w="1134" w:type="dxa"/>
                  <w:vAlign w:val="center"/>
                  <w:hideMark/>
                </w:tcPr>
                <w:p w14:paraId="4992612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CNJ</w:t>
                  </w:r>
                </w:p>
              </w:tc>
              <w:tc>
                <w:tcPr>
                  <w:tcW w:w="7797" w:type="dxa"/>
                  <w:vAlign w:val="center"/>
                  <w:hideMark/>
                </w:tcPr>
                <w:p w14:paraId="0FA63DA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Conselho Nacional de Justiça</w:t>
                  </w:r>
                </w:p>
              </w:tc>
            </w:tr>
            <w:tr w:rsidR="007A41BA" w:rsidRPr="00915E91" w14:paraId="6AEC76A5" w14:textId="77777777" w:rsidTr="00CC1C3D">
              <w:tc>
                <w:tcPr>
                  <w:tcW w:w="1134" w:type="dxa"/>
                  <w:vAlign w:val="center"/>
                  <w:hideMark/>
                </w:tcPr>
                <w:p w14:paraId="49DE00A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CNPJ</w:t>
                  </w:r>
                </w:p>
              </w:tc>
              <w:tc>
                <w:tcPr>
                  <w:tcW w:w="7797" w:type="dxa"/>
                  <w:vAlign w:val="center"/>
                  <w:hideMark/>
                </w:tcPr>
                <w:p w14:paraId="64CB6B9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Cadastro Nacional da Pessoa Jurídica</w:t>
                  </w:r>
                </w:p>
              </w:tc>
            </w:tr>
            <w:tr w:rsidR="007A41BA" w:rsidRPr="00915E91" w14:paraId="0F3D5F12" w14:textId="77777777" w:rsidTr="00CC1C3D">
              <w:tc>
                <w:tcPr>
                  <w:tcW w:w="1134" w:type="dxa"/>
                  <w:vAlign w:val="center"/>
                  <w:hideMark/>
                </w:tcPr>
                <w:p w14:paraId="0C90878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CRC</w:t>
                  </w:r>
                </w:p>
              </w:tc>
              <w:tc>
                <w:tcPr>
                  <w:tcW w:w="7797" w:type="dxa"/>
                  <w:vAlign w:val="center"/>
                  <w:hideMark/>
                </w:tcPr>
                <w:p w14:paraId="1FAB71E7"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Conselho Regional de Contabilidade</w:t>
                  </w:r>
                </w:p>
              </w:tc>
            </w:tr>
            <w:tr w:rsidR="007A41BA" w:rsidRPr="00915E91" w14:paraId="3B0CCD66" w14:textId="77777777" w:rsidTr="00CC1C3D">
              <w:tc>
                <w:tcPr>
                  <w:tcW w:w="1134" w:type="dxa"/>
                  <w:vAlign w:val="center"/>
                  <w:hideMark/>
                </w:tcPr>
                <w:p w14:paraId="4074F93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DFC</w:t>
                  </w:r>
                </w:p>
              </w:tc>
              <w:tc>
                <w:tcPr>
                  <w:tcW w:w="7797" w:type="dxa"/>
                  <w:vAlign w:val="center"/>
                  <w:hideMark/>
                </w:tcPr>
                <w:p w14:paraId="6288F43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Demonstração dos Fluxos de Caixa</w:t>
                  </w:r>
                </w:p>
              </w:tc>
            </w:tr>
            <w:tr w:rsidR="007A41BA" w:rsidRPr="00915E91" w14:paraId="5FB71193" w14:textId="77777777" w:rsidTr="00CC1C3D">
              <w:tc>
                <w:tcPr>
                  <w:tcW w:w="1134" w:type="dxa"/>
                  <w:vAlign w:val="center"/>
                </w:tcPr>
                <w:p w14:paraId="7530947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DICOC</w:t>
                  </w:r>
                </w:p>
              </w:tc>
              <w:tc>
                <w:tcPr>
                  <w:tcW w:w="7797" w:type="dxa"/>
                  <w:vAlign w:val="center"/>
                </w:tcPr>
                <w:p w14:paraId="63BCDEA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Divisão de Análise Contábil e Custos</w:t>
                  </w:r>
                </w:p>
              </w:tc>
            </w:tr>
            <w:tr w:rsidR="007A41BA" w:rsidRPr="00915E91" w14:paraId="2C3EE47A" w14:textId="77777777" w:rsidTr="00CC1C3D">
              <w:tc>
                <w:tcPr>
                  <w:tcW w:w="1134" w:type="dxa"/>
                  <w:vAlign w:val="center"/>
                  <w:hideMark/>
                </w:tcPr>
                <w:p w14:paraId="0D2A0AD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DIGER</w:t>
                  </w:r>
                </w:p>
              </w:tc>
              <w:tc>
                <w:tcPr>
                  <w:tcW w:w="7797" w:type="dxa"/>
                  <w:vAlign w:val="center"/>
                  <w:hideMark/>
                </w:tcPr>
                <w:p w14:paraId="20EFD80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Diretoria-Geral</w:t>
                  </w:r>
                </w:p>
              </w:tc>
            </w:tr>
            <w:tr w:rsidR="007A41BA" w:rsidRPr="00915E91" w14:paraId="21EAE99E" w14:textId="77777777" w:rsidTr="00CC1C3D">
              <w:tc>
                <w:tcPr>
                  <w:tcW w:w="1134" w:type="dxa"/>
                  <w:vAlign w:val="center"/>
                  <w:hideMark/>
                </w:tcPr>
                <w:p w14:paraId="03CFD9B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DIPAG</w:t>
                  </w:r>
                </w:p>
              </w:tc>
              <w:tc>
                <w:tcPr>
                  <w:tcW w:w="7797" w:type="dxa"/>
                  <w:vAlign w:val="center"/>
                  <w:hideMark/>
                </w:tcPr>
                <w:p w14:paraId="57DF05B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Divisão de Pagamento de Pessoal</w:t>
                  </w:r>
                </w:p>
              </w:tc>
            </w:tr>
            <w:tr w:rsidR="007A41BA" w:rsidRPr="00915E91" w14:paraId="5EBBA483" w14:textId="77777777" w:rsidTr="00CC1C3D">
              <w:tc>
                <w:tcPr>
                  <w:tcW w:w="1134" w:type="dxa"/>
                  <w:vAlign w:val="center"/>
                </w:tcPr>
                <w:p w14:paraId="4C11055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DIREF</w:t>
                  </w:r>
                </w:p>
              </w:tc>
              <w:tc>
                <w:tcPr>
                  <w:tcW w:w="7797" w:type="dxa"/>
                  <w:vAlign w:val="center"/>
                </w:tcPr>
                <w:p w14:paraId="440714F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Diretoria do Foro</w:t>
                  </w:r>
                </w:p>
              </w:tc>
            </w:tr>
            <w:tr w:rsidR="007A41BA" w:rsidRPr="00915E91" w14:paraId="2CE31109" w14:textId="77777777" w:rsidTr="00CC1C3D">
              <w:tc>
                <w:tcPr>
                  <w:tcW w:w="1134" w:type="dxa"/>
                  <w:vAlign w:val="center"/>
                </w:tcPr>
                <w:p w14:paraId="5FA3278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DN</w:t>
                  </w:r>
                </w:p>
              </w:tc>
              <w:tc>
                <w:tcPr>
                  <w:tcW w:w="7797" w:type="dxa"/>
                  <w:vAlign w:val="center"/>
                </w:tcPr>
                <w:p w14:paraId="113156F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Decisão Normativa</w:t>
                  </w:r>
                </w:p>
              </w:tc>
            </w:tr>
            <w:tr w:rsidR="007A41BA" w:rsidRPr="00915E91" w14:paraId="220A2DB7" w14:textId="77777777" w:rsidTr="00CC1C3D">
              <w:tc>
                <w:tcPr>
                  <w:tcW w:w="1134" w:type="dxa"/>
                  <w:vAlign w:val="center"/>
                  <w:hideMark/>
                </w:tcPr>
                <w:p w14:paraId="1E115A0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DVP</w:t>
                  </w:r>
                </w:p>
              </w:tc>
              <w:tc>
                <w:tcPr>
                  <w:tcW w:w="7797" w:type="dxa"/>
                  <w:vAlign w:val="center"/>
                  <w:hideMark/>
                </w:tcPr>
                <w:p w14:paraId="1AB80E5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Demonstração das Variações Patrimoniais</w:t>
                  </w:r>
                </w:p>
              </w:tc>
            </w:tr>
            <w:tr w:rsidR="007A41BA" w:rsidRPr="00915E91" w14:paraId="7CB353A7" w14:textId="77777777" w:rsidTr="00CC1C3D">
              <w:tc>
                <w:tcPr>
                  <w:tcW w:w="1134" w:type="dxa"/>
                  <w:vAlign w:val="center"/>
                  <w:hideMark/>
                </w:tcPr>
                <w:p w14:paraId="7B889BB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ECA</w:t>
                  </w:r>
                </w:p>
              </w:tc>
              <w:tc>
                <w:tcPr>
                  <w:tcW w:w="7797" w:type="dxa"/>
                  <w:vAlign w:val="center"/>
                  <w:hideMark/>
                </w:tcPr>
                <w:p w14:paraId="42CAE4A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Tribunal de Contas Europeu</w:t>
                  </w:r>
                </w:p>
              </w:tc>
            </w:tr>
            <w:tr w:rsidR="007A41BA" w:rsidRPr="00915E91" w14:paraId="1F05808F" w14:textId="77777777" w:rsidTr="00CC1C3D">
              <w:tc>
                <w:tcPr>
                  <w:tcW w:w="1134" w:type="dxa"/>
                  <w:vAlign w:val="center"/>
                  <w:hideMark/>
                </w:tcPr>
                <w:p w14:paraId="069D1E37"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ED</w:t>
                  </w:r>
                </w:p>
              </w:tc>
              <w:tc>
                <w:tcPr>
                  <w:tcW w:w="7797" w:type="dxa"/>
                  <w:vAlign w:val="center"/>
                  <w:hideMark/>
                </w:tcPr>
                <w:p w14:paraId="549CD0D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Elemento da Despesa</w:t>
                  </w:r>
                </w:p>
              </w:tc>
            </w:tr>
            <w:tr w:rsidR="007A41BA" w:rsidRPr="00915E91" w14:paraId="28E63FBF" w14:textId="77777777" w:rsidTr="00CC1C3D">
              <w:tc>
                <w:tcPr>
                  <w:tcW w:w="1134" w:type="dxa"/>
                  <w:vAlign w:val="center"/>
                  <w:hideMark/>
                </w:tcPr>
                <w:p w14:paraId="3121B25C"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EFS</w:t>
                  </w:r>
                </w:p>
              </w:tc>
              <w:tc>
                <w:tcPr>
                  <w:tcW w:w="7797" w:type="dxa"/>
                  <w:vAlign w:val="center"/>
                  <w:hideMark/>
                </w:tcPr>
                <w:p w14:paraId="74C4470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Entidades Fiscalizadoras Superiores</w:t>
                  </w:r>
                </w:p>
              </w:tc>
            </w:tr>
            <w:tr w:rsidR="007A41BA" w:rsidRPr="00915E91" w14:paraId="49ADEDA9" w14:textId="77777777" w:rsidTr="00CC1C3D">
              <w:tc>
                <w:tcPr>
                  <w:tcW w:w="1134" w:type="dxa"/>
                  <w:vAlign w:val="center"/>
                  <w:hideMark/>
                </w:tcPr>
                <w:p w14:paraId="242858A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EMAGIS</w:t>
                  </w:r>
                </w:p>
              </w:tc>
              <w:tc>
                <w:tcPr>
                  <w:tcW w:w="7797" w:type="dxa"/>
                  <w:vAlign w:val="center"/>
                  <w:hideMark/>
                </w:tcPr>
                <w:p w14:paraId="3ADCF4F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Escola de Magistratura</w:t>
                  </w:r>
                </w:p>
              </w:tc>
            </w:tr>
            <w:tr w:rsidR="007A41BA" w:rsidRPr="00915E91" w14:paraId="50B36331" w14:textId="77777777" w:rsidTr="00CC1C3D">
              <w:tc>
                <w:tcPr>
                  <w:tcW w:w="1134" w:type="dxa"/>
                  <w:vAlign w:val="center"/>
                </w:tcPr>
                <w:p w14:paraId="30834F0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FUNPRESP</w:t>
                  </w:r>
                </w:p>
              </w:tc>
              <w:tc>
                <w:tcPr>
                  <w:tcW w:w="7797" w:type="dxa"/>
                  <w:vAlign w:val="center"/>
                </w:tcPr>
                <w:p w14:paraId="387A8E57"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Fundação de Previdência Complementar do Servidor Público Federal</w:t>
                  </w:r>
                </w:p>
              </w:tc>
            </w:tr>
            <w:tr w:rsidR="007A41BA" w:rsidRPr="00915E91" w14:paraId="3DFC9E9B" w14:textId="77777777" w:rsidTr="00CC1C3D">
              <w:tc>
                <w:tcPr>
                  <w:tcW w:w="1134" w:type="dxa"/>
                  <w:vAlign w:val="center"/>
                </w:tcPr>
                <w:p w14:paraId="0CF1228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GAJU</w:t>
                  </w:r>
                </w:p>
              </w:tc>
              <w:tc>
                <w:tcPr>
                  <w:tcW w:w="7797" w:type="dxa"/>
                  <w:vAlign w:val="center"/>
                </w:tcPr>
                <w:p w14:paraId="19C537D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Gratificação por exercício cumulativo de jurisdição</w:t>
                  </w:r>
                </w:p>
              </w:tc>
            </w:tr>
            <w:tr w:rsidR="007A41BA" w:rsidRPr="00915E91" w14:paraId="052D9682" w14:textId="77777777" w:rsidTr="00CC1C3D">
              <w:tc>
                <w:tcPr>
                  <w:tcW w:w="1134" w:type="dxa"/>
                  <w:vAlign w:val="center"/>
                </w:tcPr>
                <w:p w14:paraId="1F5D762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GN</w:t>
                  </w:r>
                </w:p>
              </w:tc>
              <w:tc>
                <w:tcPr>
                  <w:tcW w:w="7797" w:type="dxa"/>
                  <w:vAlign w:val="center"/>
                </w:tcPr>
                <w:p w14:paraId="5F8B7C5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Grupo de Natureza</w:t>
                  </w:r>
                </w:p>
              </w:tc>
            </w:tr>
            <w:tr w:rsidR="007A41BA" w:rsidRPr="00915E91" w14:paraId="3B421825" w14:textId="77777777" w:rsidTr="00CC1C3D">
              <w:tc>
                <w:tcPr>
                  <w:tcW w:w="1134" w:type="dxa"/>
                  <w:vAlign w:val="center"/>
                </w:tcPr>
                <w:p w14:paraId="40F3B39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GRU</w:t>
                  </w:r>
                </w:p>
              </w:tc>
              <w:tc>
                <w:tcPr>
                  <w:tcW w:w="7797" w:type="dxa"/>
                  <w:vAlign w:val="center"/>
                </w:tcPr>
                <w:p w14:paraId="603DBB2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Guia de Recolhimento da União</w:t>
                  </w:r>
                </w:p>
              </w:tc>
            </w:tr>
            <w:tr w:rsidR="007A41BA" w:rsidRPr="00915E91" w14:paraId="0CDF131E" w14:textId="77777777" w:rsidTr="00CC1C3D">
              <w:tc>
                <w:tcPr>
                  <w:tcW w:w="1134" w:type="dxa"/>
                  <w:vAlign w:val="center"/>
                  <w:hideMark/>
                </w:tcPr>
                <w:p w14:paraId="71A50DC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IFAC</w:t>
                  </w:r>
                </w:p>
              </w:tc>
              <w:tc>
                <w:tcPr>
                  <w:tcW w:w="7797" w:type="dxa"/>
                  <w:vAlign w:val="center"/>
                  <w:hideMark/>
                </w:tcPr>
                <w:p w14:paraId="640E1F9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Federação Internacional de Contadores</w:t>
                  </w:r>
                </w:p>
              </w:tc>
            </w:tr>
            <w:tr w:rsidR="007A41BA" w:rsidRPr="00915E91" w14:paraId="7C45273A" w14:textId="77777777" w:rsidTr="00CC1C3D">
              <w:tc>
                <w:tcPr>
                  <w:tcW w:w="1134" w:type="dxa"/>
                  <w:vAlign w:val="center"/>
                  <w:hideMark/>
                </w:tcPr>
                <w:p w14:paraId="64ED13E7"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IM</w:t>
                  </w:r>
                </w:p>
              </w:tc>
              <w:tc>
                <w:tcPr>
                  <w:tcW w:w="7797" w:type="dxa"/>
                  <w:vAlign w:val="center"/>
                  <w:hideMark/>
                </w:tcPr>
                <w:p w14:paraId="762172FC"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Imóvel</w:t>
                  </w:r>
                </w:p>
              </w:tc>
            </w:tr>
            <w:tr w:rsidR="007A41BA" w:rsidRPr="00915E91" w14:paraId="6598BE94" w14:textId="77777777" w:rsidTr="00CC1C3D">
              <w:tc>
                <w:tcPr>
                  <w:tcW w:w="1134" w:type="dxa"/>
                  <w:vAlign w:val="center"/>
                </w:tcPr>
                <w:p w14:paraId="03FEDBA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IN</w:t>
                  </w:r>
                </w:p>
              </w:tc>
              <w:tc>
                <w:tcPr>
                  <w:tcW w:w="7797" w:type="dxa"/>
                  <w:vAlign w:val="center"/>
                </w:tcPr>
                <w:p w14:paraId="633E3C3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Instrução Normativa</w:t>
                  </w:r>
                </w:p>
              </w:tc>
            </w:tr>
            <w:tr w:rsidR="007A41BA" w:rsidRPr="00915E91" w14:paraId="7B1409EC" w14:textId="77777777" w:rsidTr="00CC1C3D">
              <w:tc>
                <w:tcPr>
                  <w:tcW w:w="1134" w:type="dxa"/>
                  <w:vAlign w:val="center"/>
                  <w:hideMark/>
                </w:tcPr>
                <w:p w14:paraId="2FD4213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INTOSAI</w:t>
                  </w:r>
                </w:p>
              </w:tc>
              <w:tc>
                <w:tcPr>
                  <w:tcW w:w="7797" w:type="dxa"/>
                  <w:vAlign w:val="center"/>
                  <w:hideMark/>
                </w:tcPr>
                <w:p w14:paraId="780BE31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Organização Internacional de Entidades Fiscalizadoras Superiores</w:t>
                  </w:r>
                </w:p>
              </w:tc>
            </w:tr>
            <w:tr w:rsidR="007A41BA" w:rsidRPr="00915E91" w14:paraId="7FF624BF" w14:textId="77777777" w:rsidTr="00CC1C3D">
              <w:tc>
                <w:tcPr>
                  <w:tcW w:w="1134" w:type="dxa"/>
                  <w:vAlign w:val="center"/>
                  <w:hideMark/>
                </w:tcPr>
                <w:p w14:paraId="4ACDACD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ISA</w:t>
                  </w:r>
                </w:p>
              </w:tc>
              <w:tc>
                <w:tcPr>
                  <w:tcW w:w="7797" w:type="dxa"/>
                  <w:vAlign w:val="center"/>
                  <w:hideMark/>
                </w:tcPr>
                <w:p w14:paraId="4F6C11D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Normas Internacionais de Auditoria Independente</w:t>
                  </w:r>
                </w:p>
              </w:tc>
            </w:tr>
            <w:tr w:rsidR="007A41BA" w:rsidRPr="00915E91" w14:paraId="2BE24415" w14:textId="77777777" w:rsidTr="00CC1C3D">
              <w:tc>
                <w:tcPr>
                  <w:tcW w:w="1134" w:type="dxa"/>
                  <w:vAlign w:val="center"/>
                  <w:hideMark/>
                </w:tcPr>
                <w:p w14:paraId="20ECAEF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ISSAI</w:t>
                  </w:r>
                </w:p>
              </w:tc>
              <w:tc>
                <w:tcPr>
                  <w:tcW w:w="7797" w:type="dxa"/>
                  <w:vAlign w:val="center"/>
                  <w:hideMark/>
                </w:tcPr>
                <w:p w14:paraId="3300419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Normas Internacionais das Entidades Fiscalizadoras Superiores</w:t>
                  </w:r>
                </w:p>
              </w:tc>
            </w:tr>
            <w:tr w:rsidR="007A41BA" w:rsidRPr="00915E91" w14:paraId="11DFBEF8" w14:textId="77777777" w:rsidTr="00CC1C3D">
              <w:tc>
                <w:tcPr>
                  <w:tcW w:w="1134" w:type="dxa"/>
                  <w:vAlign w:val="center"/>
                </w:tcPr>
                <w:p w14:paraId="225AB2D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JF</w:t>
                  </w:r>
                </w:p>
              </w:tc>
              <w:tc>
                <w:tcPr>
                  <w:tcW w:w="7797" w:type="dxa"/>
                  <w:vAlign w:val="center"/>
                </w:tcPr>
                <w:p w14:paraId="0C8CD54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Justiça Federal</w:t>
                  </w:r>
                </w:p>
              </w:tc>
            </w:tr>
            <w:tr w:rsidR="007A41BA" w:rsidRPr="00915E91" w14:paraId="777E23D8" w14:textId="77777777" w:rsidTr="00CC1C3D">
              <w:tc>
                <w:tcPr>
                  <w:tcW w:w="1134" w:type="dxa"/>
                  <w:vAlign w:val="center"/>
                  <w:hideMark/>
                </w:tcPr>
                <w:p w14:paraId="4FADFB5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LAD</w:t>
                  </w:r>
                </w:p>
              </w:tc>
              <w:tc>
                <w:tcPr>
                  <w:tcW w:w="7797" w:type="dxa"/>
                  <w:vAlign w:val="center"/>
                  <w:hideMark/>
                </w:tcPr>
                <w:p w14:paraId="608F60B7"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Limite para Acumulação de Distorções</w:t>
                  </w:r>
                </w:p>
              </w:tc>
            </w:tr>
            <w:tr w:rsidR="007A41BA" w:rsidRPr="00915E91" w14:paraId="3A569462" w14:textId="77777777" w:rsidTr="00CC1C3D">
              <w:tc>
                <w:tcPr>
                  <w:tcW w:w="1134" w:type="dxa"/>
                  <w:vAlign w:val="center"/>
                </w:tcPr>
                <w:p w14:paraId="3D320DB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LP</w:t>
                  </w:r>
                </w:p>
              </w:tc>
              <w:tc>
                <w:tcPr>
                  <w:tcW w:w="7797" w:type="dxa"/>
                  <w:vAlign w:val="center"/>
                </w:tcPr>
                <w:p w14:paraId="444586F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Lista de Processos</w:t>
                  </w:r>
                </w:p>
              </w:tc>
            </w:tr>
            <w:tr w:rsidR="007A41BA" w:rsidRPr="00915E91" w14:paraId="3FD57887" w14:textId="77777777" w:rsidTr="00CC1C3D">
              <w:tc>
                <w:tcPr>
                  <w:tcW w:w="1134" w:type="dxa"/>
                  <w:vAlign w:val="center"/>
                  <w:hideMark/>
                </w:tcPr>
                <w:p w14:paraId="26873C5C"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MAF</w:t>
                  </w:r>
                </w:p>
              </w:tc>
              <w:tc>
                <w:tcPr>
                  <w:tcW w:w="7797" w:type="dxa"/>
                  <w:vAlign w:val="center"/>
                  <w:hideMark/>
                </w:tcPr>
                <w:p w14:paraId="2D23573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Manual de Auditoria Financeira</w:t>
                  </w:r>
                </w:p>
              </w:tc>
            </w:tr>
            <w:tr w:rsidR="007A41BA" w:rsidRPr="00915E91" w14:paraId="3E380C06" w14:textId="77777777" w:rsidTr="00CC1C3D">
              <w:tc>
                <w:tcPr>
                  <w:tcW w:w="1134" w:type="dxa"/>
                  <w:vAlign w:val="center"/>
                  <w:hideMark/>
                </w:tcPr>
                <w:p w14:paraId="7B7D989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MCASP</w:t>
                  </w:r>
                </w:p>
              </w:tc>
              <w:tc>
                <w:tcPr>
                  <w:tcW w:w="7797" w:type="dxa"/>
                  <w:vAlign w:val="center"/>
                  <w:hideMark/>
                </w:tcPr>
                <w:p w14:paraId="1C532ED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Manual de Contabilidade Aplicada ao Setor Público</w:t>
                  </w:r>
                </w:p>
              </w:tc>
            </w:tr>
            <w:tr w:rsidR="007A41BA" w:rsidRPr="00915E91" w14:paraId="3E5276CA" w14:textId="77777777" w:rsidTr="00CC1C3D">
              <w:tc>
                <w:tcPr>
                  <w:tcW w:w="1134" w:type="dxa"/>
                  <w:vAlign w:val="center"/>
                  <w:hideMark/>
                </w:tcPr>
                <w:p w14:paraId="073224F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ME</w:t>
                  </w:r>
                </w:p>
              </w:tc>
              <w:tc>
                <w:tcPr>
                  <w:tcW w:w="7797" w:type="dxa"/>
                  <w:vAlign w:val="center"/>
                  <w:hideMark/>
                </w:tcPr>
                <w:p w14:paraId="29BFCE1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Materialidade para Execução</w:t>
                  </w:r>
                </w:p>
              </w:tc>
            </w:tr>
            <w:tr w:rsidR="007A41BA" w:rsidRPr="00915E91" w14:paraId="4B42ABA6" w14:textId="77777777" w:rsidTr="00CC1C3D">
              <w:tc>
                <w:tcPr>
                  <w:tcW w:w="1134" w:type="dxa"/>
                  <w:vAlign w:val="center"/>
                  <w:hideMark/>
                </w:tcPr>
                <w:p w14:paraId="7CA3F7D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MG</w:t>
                  </w:r>
                </w:p>
              </w:tc>
              <w:tc>
                <w:tcPr>
                  <w:tcW w:w="7797" w:type="dxa"/>
                  <w:vAlign w:val="center"/>
                  <w:hideMark/>
                </w:tcPr>
                <w:p w14:paraId="39674EB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Materialidade Global</w:t>
                  </w:r>
                </w:p>
              </w:tc>
            </w:tr>
            <w:tr w:rsidR="007A41BA" w:rsidRPr="00915E91" w14:paraId="6EB70DEA" w14:textId="77777777" w:rsidTr="00CC1C3D">
              <w:tc>
                <w:tcPr>
                  <w:tcW w:w="1134" w:type="dxa"/>
                  <w:vAlign w:val="center"/>
                  <w:hideMark/>
                </w:tcPr>
                <w:p w14:paraId="57BFE6D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NAT</w:t>
                  </w:r>
                </w:p>
              </w:tc>
              <w:tc>
                <w:tcPr>
                  <w:tcW w:w="7797" w:type="dxa"/>
                  <w:vAlign w:val="center"/>
                  <w:hideMark/>
                </w:tcPr>
                <w:p w14:paraId="78083A7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Normas de Auditoria do Tribunal de Contas da União</w:t>
                  </w:r>
                </w:p>
              </w:tc>
            </w:tr>
            <w:tr w:rsidR="007A41BA" w:rsidRPr="00915E91" w14:paraId="3AB1DC15" w14:textId="77777777" w:rsidTr="00CC1C3D">
              <w:tc>
                <w:tcPr>
                  <w:tcW w:w="1134" w:type="dxa"/>
                  <w:vAlign w:val="center"/>
                  <w:hideMark/>
                </w:tcPr>
                <w:p w14:paraId="7F9DB66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NBC TA</w:t>
                  </w:r>
                </w:p>
              </w:tc>
              <w:tc>
                <w:tcPr>
                  <w:tcW w:w="7797" w:type="dxa"/>
                  <w:vAlign w:val="center"/>
                  <w:hideMark/>
                </w:tcPr>
                <w:p w14:paraId="606C6D8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Normas Brasileiras de Contabilidade Técnicas aplicadas à Auditoria</w:t>
                  </w:r>
                </w:p>
              </w:tc>
            </w:tr>
            <w:tr w:rsidR="007A41BA" w:rsidRPr="00915E91" w14:paraId="6A1BF944" w14:textId="77777777" w:rsidTr="00CC1C3D">
              <w:tc>
                <w:tcPr>
                  <w:tcW w:w="1134" w:type="dxa"/>
                  <w:vAlign w:val="center"/>
                  <w:hideMark/>
                </w:tcPr>
                <w:p w14:paraId="5454F2E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NBC TSP</w:t>
                  </w:r>
                </w:p>
              </w:tc>
              <w:tc>
                <w:tcPr>
                  <w:tcW w:w="7797" w:type="dxa"/>
                  <w:vAlign w:val="center"/>
                  <w:hideMark/>
                </w:tcPr>
                <w:p w14:paraId="59F6BF7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Normas Brasileiras de Contabilidade Aplicadas ao Setor Público</w:t>
                  </w:r>
                </w:p>
              </w:tc>
            </w:tr>
            <w:tr w:rsidR="007A41BA" w:rsidRPr="00915E91" w14:paraId="5001F2D6" w14:textId="77777777" w:rsidTr="00CC1C3D">
              <w:tc>
                <w:tcPr>
                  <w:tcW w:w="1134" w:type="dxa"/>
                  <w:vAlign w:val="center"/>
                </w:tcPr>
                <w:p w14:paraId="4E36990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NE</w:t>
                  </w:r>
                </w:p>
              </w:tc>
              <w:tc>
                <w:tcPr>
                  <w:tcW w:w="7797" w:type="dxa"/>
                  <w:vAlign w:val="center"/>
                </w:tcPr>
                <w:p w14:paraId="1F991D3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Nota de Empenho</w:t>
                  </w:r>
                </w:p>
              </w:tc>
            </w:tr>
            <w:tr w:rsidR="007A41BA" w:rsidRPr="00915E91" w14:paraId="6EC4F8F3" w14:textId="77777777" w:rsidTr="00CC1C3D">
              <w:tc>
                <w:tcPr>
                  <w:tcW w:w="1134" w:type="dxa"/>
                  <w:vAlign w:val="center"/>
                </w:tcPr>
                <w:p w14:paraId="75CDD64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NS</w:t>
                  </w:r>
                </w:p>
              </w:tc>
              <w:tc>
                <w:tcPr>
                  <w:tcW w:w="7797" w:type="dxa"/>
                  <w:vAlign w:val="center"/>
                </w:tcPr>
                <w:p w14:paraId="74A165A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Nota de Sistema</w:t>
                  </w:r>
                </w:p>
              </w:tc>
            </w:tr>
            <w:tr w:rsidR="007A41BA" w:rsidRPr="00915E91" w14:paraId="13381012" w14:textId="77777777" w:rsidTr="00CC1C3D">
              <w:tc>
                <w:tcPr>
                  <w:tcW w:w="1134" w:type="dxa"/>
                  <w:vAlign w:val="center"/>
                </w:tcPr>
                <w:p w14:paraId="158F814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NUAUG</w:t>
                  </w:r>
                </w:p>
              </w:tc>
              <w:tc>
                <w:tcPr>
                  <w:tcW w:w="7797" w:type="dxa"/>
                  <w:vAlign w:val="center"/>
                </w:tcPr>
                <w:p w14:paraId="3D5F7C8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Núcleo de Auditoria de Gestão Administrativa</w:t>
                  </w:r>
                </w:p>
              </w:tc>
            </w:tr>
            <w:tr w:rsidR="007A41BA" w:rsidRPr="00915E91" w14:paraId="21E0BDBE" w14:textId="77777777" w:rsidTr="00CC1C3D">
              <w:tc>
                <w:tcPr>
                  <w:tcW w:w="1134" w:type="dxa"/>
                  <w:vAlign w:val="center"/>
                </w:tcPr>
                <w:p w14:paraId="68CD46A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NULEP</w:t>
                  </w:r>
                </w:p>
              </w:tc>
              <w:tc>
                <w:tcPr>
                  <w:tcW w:w="7797" w:type="dxa"/>
                  <w:vAlign w:val="center"/>
                </w:tcPr>
                <w:p w14:paraId="261C2C6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Núcleo de Legislação de Pessoal</w:t>
                  </w:r>
                </w:p>
              </w:tc>
            </w:tr>
            <w:tr w:rsidR="007A41BA" w:rsidRPr="00915E91" w14:paraId="1A67EBF1" w14:textId="77777777" w:rsidTr="00CC1C3D">
              <w:tc>
                <w:tcPr>
                  <w:tcW w:w="1134" w:type="dxa"/>
                  <w:vAlign w:val="center"/>
                  <w:hideMark/>
                </w:tcPr>
                <w:p w14:paraId="45DBF6B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OGU</w:t>
                  </w:r>
                </w:p>
              </w:tc>
              <w:tc>
                <w:tcPr>
                  <w:tcW w:w="7797" w:type="dxa"/>
                  <w:vAlign w:val="center"/>
                  <w:hideMark/>
                </w:tcPr>
                <w:p w14:paraId="2293C7E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Orçamento Geral da União</w:t>
                  </w:r>
                </w:p>
              </w:tc>
            </w:tr>
            <w:tr w:rsidR="007A41BA" w:rsidRPr="00915E91" w14:paraId="60A0640E" w14:textId="77777777" w:rsidTr="00CC1C3D">
              <w:tc>
                <w:tcPr>
                  <w:tcW w:w="1134" w:type="dxa"/>
                  <w:vAlign w:val="center"/>
                </w:tcPr>
                <w:p w14:paraId="1FD330E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PAA</w:t>
                  </w:r>
                </w:p>
              </w:tc>
              <w:tc>
                <w:tcPr>
                  <w:tcW w:w="7797" w:type="dxa"/>
                  <w:vAlign w:val="center"/>
                </w:tcPr>
                <w:p w14:paraId="0408CCA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Plano Anual de Auditoria</w:t>
                  </w:r>
                </w:p>
              </w:tc>
            </w:tr>
            <w:tr w:rsidR="007A41BA" w:rsidRPr="00915E91" w14:paraId="3BB1B25D" w14:textId="77777777" w:rsidTr="00CC1C3D">
              <w:tc>
                <w:tcPr>
                  <w:tcW w:w="1134" w:type="dxa"/>
                  <w:vAlign w:val="center"/>
                </w:tcPr>
                <w:p w14:paraId="042B662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PAC</w:t>
                  </w:r>
                </w:p>
              </w:tc>
              <w:tc>
                <w:tcPr>
                  <w:tcW w:w="7797" w:type="dxa"/>
                  <w:vAlign w:val="center"/>
                </w:tcPr>
                <w:p w14:paraId="0FFB6DD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Plano de Contratações Anual</w:t>
                  </w:r>
                </w:p>
              </w:tc>
            </w:tr>
            <w:tr w:rsidR="007A41BA" w:rsidRPr="00915E91" w14:paraId="522BA666" w14:textId="77777777" w:rsidTr="00CC1C3D">
              <w:tc>
                <w:tcPr>
                  <w:tcW w:w="1134" w:type="dxa"/>
                  <w:vAlign w:val="center"/>
                </w:tcPr>
                <w:p w14:paraId="2B146AC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proofErr w:type="spellStart"/>
                  <w:r w:rsidRPr="00915E91">
                    <w:rPr>
                      <w:rFonts w:ascii="Times New Roman" w:eastAsia="Times New Roman" w:hAnsi="Times New Roman" w:cs="Times New Roman"/>
                      <w:sz w:val="20"/>
                      <w:szCs w:val="20"/>
                      <w:lang w:eastAsia="pt-BR"/>
                    </w:rPr>
                    <w:t>PAe</w:t>
                  </w:r>
                  <w:proofErr w:type="spellEnd"/>
                </w:p>
              </w:tc>
              <w:tc>
                <w:tcPr>
                  <w:tcW w:w="7797" w:type="dxa"/>
                  <w:vAlign w:val="center"/>
                </w:tcPr>
                <w:p w14:paraId="4951620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Processo Administrativo Eletrônico</w:t>
                  </w:r>
                </w:p>
              </w:tc>
            </w:tr>
            <w:tr w:rsidR="007A41BA" w:rsidRPr="00915E91" w14:paraId="1BD1A93F" w14:textId="77777777" w:rsidTr="00CC1C3D">
              <w:tc>
                <w:tcPr>
                  <w:tcW w:w="1134" w:type="dxa"/>
                  <w:vAlign w:val="center"/>
                  <w:hideMark/>
                </w:tcPr>
                <w:p w14:paraId="6F9B85CC"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lastRenderedPageBreak/>
                    <w:t>PF</w:t>
                  </w:r>
                </w:p>
              </w:tc>
              <w:tc>
                <w:tcPr>
                  <w:tcW w:w="7797" w:type="dxa"/>
                  <w:vAlign w:val="center"/>
                  <w:hideMark/>
                </w:tcPr>
                <w:p w14:paraId="3C68CEC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Pessoa Física</w:t>
                  </w:r>
                </w:p>
              </w:tc>
            </w:tr>
            <w:tr w:rsidR="007A41BA" w:rsidRPr="00915E91" w14:paraId="2290E01C" w14:textId="77777777" w:rsidTr="00CC1C3D">
              <w:tc>
                <w:tcPr>
                  <w:tcW w:w="1134" w:type="dxa"/>
                  <w:vAlign w:val="center"/>
                  <w:hideMark/>
                </w:tcPr>
                <w:p w14:paraId="5556A08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PLOA</w:t>
                  </w:r>
                </w:p>
              </w:tc>
              <w:tc>
                <w:tcPr>
                  <w:tcW w:w="7797" w:type="dxa"/>
                  <w:vAlign w:val="center"/>
                  <w:hideMark/>
                </w:tcPr>
                <w:p w14:paraId="7758BE7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Projeto de Lei Orçamentária Anual</w:t>
                  </w:r>
                </w:p>
              </w:tc>
            </w:tr>
            <w:tr w:rsidR="007A41BA" w:rsidRPr="00915E91" w14:paraId="258B01FA" w14:textId="77777777" w:rsidTr="00CC1C3D">
              <w:tc>
                <w:tcPr>
                  <w:tcW w:w="1134" w:type="dxa"/>
                  <w:vAlign w:val="center"/>
                </w:tcPr>
                <w:p w14:paraId="2AF2613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PRESI</w:t>
                  </w:r>
                </w:p>
              </w:tc>
              <w:tc>
                <w:tcPr>
                  <w:tcW w:w="7797" w:type="dxa"/>
                  <w:vAlign w:val="center"/>
                </w:tcPr>
                <w:p w14:paraId="2F88936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Presidência</w:t>
                  </w:r>
                </w:p>
              </w:tc>
            </w:tr>
            <w:tr w:rsidR="007A41BA" w:rsidRPr="00915E91" w14:paraId="1AA08542" w14:textId="77777777" w:rsidTr="00CC1C3D">
              <w:tc>
                <w:tcPr>
                  <w:tcW w:w="1134" w:type="dxa"/>
                  <w:vAlign w:val="center"/>
                  <w:hideMark/>
                </w:tcPr>
                <w:p w14:paraId="60D79275"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PSSS</w:t>
                  </w:r>
                </w:p>
              </w:tc>
              <w:tc>
                <w:tcPr>
                  <w:tcW w:w="7797" w:type="dxa"/>
                  <w:vAlign w:val="center"/>
                  <w:hideMark/>
                </w:tcPr>
                <w:p w14:paraId="491A8D0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Plano de Seguridade Social do Servidor</w:t>
                  </w:r>
                </w:p>
              </w:tc>
            </w:tr>
            <w:tr w:rsidR="007A41BA" w:rsidRPr="00915E91" w14:paraId="316CF76D" w14:textId="77777777" w:rsidTr="00CC1C3D">
              <w:tc>
                <w:tcPr>
                  <w:tcW w:w="1134" w:type="dxa"/>
                  <w:vAlign w:val="center"/>
                  <w:hideMark/>
                </w:tcPr>
                <w:p w14:paraId="1B24EE4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RGPS</w:t>
                  </w:r>
                </w:p>
              </w:tc>
              <w:tc>
                <w:tcPr>
                  <w:tcW w:w="7797" w:type="dxa"/>
                  <w:vAlign w:val="center"/>
                  <w:hideMark/>
                </w:tcPr>
                <w:p w14:paraId="72D6B1B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Regime Geral de Previdência Social</w:t>
                  </w:r>
                </w:p>
              </w:tc>
            </w:tr>
            <w:tr w:rsidR="007A41BA" w:rsidRPr="00915E91" w14:paraId="098324FE" w14:textId="77777777" w:rsidTr="00CC1C3D">
              <w:tc>
                <w:tcPr>
                  <w:tcW w:w="1134" w:type="dxa"/>
                  <w:vAlign w:val="center"/>
                </w:tcPr>
                <w:p w14:paraId="3C5CD5C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RIP</w:t>
                  </w:r>
                </w:p>
              </w:tc>
              <w:tc>
                <w:tcPr>
                  <w:tcW w:w="7797" w:type="dxa"/>
                  <w:vAlign w:val="center"/>
                </w:tcPr>
                <w:p w14:paraId="5081400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Registro Imobiliário Patrimonial</w:t>
                  </w:r>
                </w:p>
              </w:tc>
            </w:tr>
            <w:tr w:rsidR="007A41BA" w:rsidRPr="00915E91" w14:paraId="356B1C84" w14:textId="77777777" w:rsidTr="00CC1C3D">
              <w:tc>
                <w:tcPr>
                  <w:tcW w:w="1134" w:type="dxa"/>
                  <w:vAlign w:val="center"/>
                </w:tcPr>
                <w:p w14:paraId="072ED7D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RMB</w:t>
                  </w:r>
                </w:p>
              </w:tc>
              <w:tc>
                <w:tcPr>
                  <w:tcW w:w="7797" w:type="dxa"/>
                  <w:vAlign w:val="center"/>
                </w:tcPr>
                <w:p w14:paraId="2B1A924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Relatório de Movimentação de Bens</w:t>
                  </w:r>
                </w:p>
              </w:tc>
            </w:tr>
            <w:tr w:rsidR="007A41BA" w:rsidRPr="00915E91" w14:paraId="1710F4AA" w14:textId="77777777" w:rsidTr="00CC1C3D">
              <w:tc>
                <w:tcPr>
                  <w:tcW w:w="1134" w:type="dxa"/>
                  <w:vAlign w:val="center"/>
                  <w:hideMark/>
                </w:tcPr>
                <w:p w14:paraId="6931C28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RPNP</w:t>
                  </w:r>
                </w:p>
              </w:tc>
              <w:tc>
                <w:tcPr>
                  <w:tcW w:w="7797" w:type="dxa"/>
                  <w:vAlign w:val="center"/>
                  <w:hideMark/>
                </w:tcPr>
                <w:p w14:paraId="350189D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Restos a Pagar Não Processados</w:t>
                  </w:r>
                </w:p>
              </w:tc>
            </w:tr>
            <w:tr w:rsidR="007A41BA" w:rsidRPr="00915E91" w14:paraId="52A759F9" w14:textId="77777777" w:rsidTr="00CC1C3D">
              <w:tc>
                <w:tcPr>
                  <w:tcW w:w="1134" w:type="dxa"/>
                  <w:vAlign w:val="center"/>
                  <w:hideMark/>
                </w:tcPr>
                <w:p w14:paraId="0086DA27"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RPP</w:t>
                  </w:r>
                </w:p>
              </w:tc>
              <w:tc>
                <w:tcPr>
                  <w:tcW w:w="7797" w:type="dxa"/>
                  <w:vAlign w:val="center"/>
                  <w:hideMark/>
                </w:tcPr>
                <w:p w14:paraId="506BCD1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Restos a Pagar Processados</w:t>
                  </w:r>
                </w:p>
              </w:tc>
            </w:tr>
            <w:tr w:rsidR="007A41BA" w:rsidRPr="00915E91" w14:paraId="5E3A1CC3" w14:textId="77777777" w:rsidTr="00CC1C3D">
              <w:tc>
                <w:tcPr>
                  <w:tcW w:w="1134" w:type="dxa"/>
                  <w:vAlign w:val="center"/>
                  <w:hideMark/>
                </w:tcPr>
                <w:p w14:paraId="7933855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RPPS</w:t>
                  </w:r>
                </w:p>
              </w:tc>
              <w:tc>
                <w:tcPr>
                  <w:tcW w:w="7797" w:type="dxa"/>
                  <w:vAlign w:val="center"/>
                  <w:hideMark/>
                </w:tcPr>
                <w:p w14:paraId="48902DC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Regime Próprio de Previdência Social</w:t>
                  </w:r>
                </w:p>
              </w:tc>
            </w:tr>
            <w:tr w:rsidR="007A41BA" w:rsidRPr="00915E91" w14:paraId="20D41A11" w14:textId="77777777" w:rsidTr="00CC1C3D">
              <w:tc>
                <w:tcPr>
                  <w:tcW w:w="1134" w:type="dxa"/>
                  <w:vAlign w:val="center"/>
                  <w:hideMark/>
                </w:tcPr>
                <w:p w14:paraId="766E586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RPV</w:t>
                  </w:r>
                </w:p>
              </w:tc>
              <w:tc>
                <w:tcPr>
                  <w:tcW w:w="7797" w:type="dxa"/>
                  <w:vAlign w:val="center"/>
                  <w:hideMark/>
                </w:tcPr>
                <w:p w14:paraId="02415E87"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Requisições de Pequeno Valor</w:t>
                  </w:r>
                </w:p>
              </w:tc>
            </w:tr>
            <w:tr w:rsidR="007A41BA" w:rsidRPr="00915E91" w14:paraId="477A3180" w14:textId="77777777" w:rsidTr="00CC1C3D">
              <w:tc>
                <w:tcPr>
                  <w:tcW w:w="1134" w:type="dxa"/>
                  <w:vAlign w:val="center"/>
                  <w:hideMark/>
                </w:tcPr>
                <w:p w14:paraId="03F8BA6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SARH</w:t>
                  </w:r>
                </w:p>
              </w:tc>
              <w:tc>
                <w:tcPr>
                  <w:tcW w:w="7797" w:type="dxa"/>
                  <w:vAlign w:val="center"/>
                  <w:hideMark/>
                </w:tcPr>
                <w:p w14:paraId="78148D35"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Sistema de Recursos Humanos</w:t>
                  </w:r>
                </w:p>
              </w:tc>
            </w:tr>
            <w:tr w:rsidR="007A41BA" w:rsidRPr="00915E91" w14:paraId="4B7654D6" w14:textId="77777777" w:rsidTr="00CC1C3D">
              <w:tc>
                <w:tcPr>
                  <w:tcW w:w="1134" w:type="dxa"/>
                  <w:vAlign w:val="center"/>
                </w:tcPr>
                <w:p w14:paraId="35C9D01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SEAFI</w:t>
                  </w:r>
                </w:p>
              </w:tc>
              <w:tc>
                <w:tcPr>
                  <w:tcW w:w="7797" w:type="dxa"/>
                  <w:vAlign w:val="center"/>
                </w:tcPr>
                <w:p w14:paraId="1A410555"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de Administração Financeira e Patrimonial</w:t>
                  </w:r>
                </w:p>
              </w:tc>
            </w:tr>
            <w:tr w:rsidR="007A41BA" w:rsidRPr="00915E91" w14:paraId="2E0E0F19" w14:textId="77777777" w:rsidTr="00CC1C3D">
              <w:tc>
                <w:tcPr>
                  <w:tcW w:w="1134" w:type="dxa"/>
                  <w:vAlign w:val="center"/>
                </w:tcPr>
                <w:p w14:paraId="15A1701C"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SECAD</w:t>
                  </w:r>
                </w:p>
              </w:tc>
              <w:tc>
                <w:tcPr>
                  <w:tcW w:w="7797" w:type="dxa"/>
                  <w:vAlign w:val="center"/>
                </w:tcPr>
                <w:p w14:paraId="6D5697E5"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Secretaria de Administração do Foro</w:t>
                  </w:r>
                </w:p>
              </w:tc>
            </w:tr>
            <w:tr w:rsidR="007A41BA" w:rsidRPr="00915E91" w14:paraId="18D38272" w14:textId="77777777" w:rsidTr="00CC1C3D">
              <w:tc>
                <w:tcPr>
                  <w:tcW w:w="1134" w:type="dxa"/>
                  <w:vAlign w:val="center"/>
                  <w:hideMark/>
                </w:tcPr>
                <w:p w14:paraId="6C6602E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SECAM</w:t>
                  </w:r>
                </w:p>
              </w:tc>
              <w:tc>
                <w:tcPr>
                  <w:tcW w:w="7797" w:type="dxa"/>
                  <w:vAlign w:val="center"/>
                  <w:hideMark/>
                </w:tcPr>
                <w:p w14:paraId="208B3DE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Secretaria de Administração e Serviços</w:t>
                  </w:r>
                </w:p>
              </w:tc>
            </w:tr>
            <w:tr w:rsidR="007A41BA" w:rsidRPr="00915E91" w14:paraId="45A7921F" w14:textId="77777777" w:rsidTr="00CC1C3D">
              <w:tc>
                <w:tcPr>
                  <w:tcW w:w="1134" w:type="dxa"/>
                  <w:vAlign w:val="center"/>
                  <w:hideMark/>
                </w:tcPr>
                <w:p w14:paraId="053FFE9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SECAU</w:t>
                  </w:r>
                </w:p>
              </w:tc>
              <w:tc>
                <w:tcPr>
                  <w:tcW w:w="7797" w:type="dxa"/>
                  <w:vAlign w:val="center"/>
                  <w:hideMark/>
                </w:tcPr>
                <w:p w14:paraId="0317DDE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Secretaria de Auditoria Interna</w:t>
                  </w:r>
                </w:p>
              </w:tc>
            </w:tr>
            <w:tr w:rsidR="007A41BA" w:rsidRPr="00915E91" w14:paraId="7B63A4B6" w14:textId="77777777" w:rsidTr="00CC1C3D">
              <w:tc>
                <w:tcPr>
                  <w:tcW w:w="1134" w:type="dxa"/>
                  <w:vAlign w:val="center"/>
                  <w:hideMark/>
                </w:tcPr>
                <w:p w14:paraId="489D8E7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SECGP</w:t>
                  </w:r>
                </w:p>
              </w:tc>
              <w:tc>
                <w:tcPr>
                  <w:tcW w:w="7797" w:type="dxa"/>
                  <w:vAlign w:val="center"/>
                  <w:hideMark/>
                </w:tcPr>
                <w:p w14:paraId="5F7089C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Secretaria de Gestão de Pessoas</w:t>
                  </w:r>
                </w:p>
              </w:tc>
            </w:tr>
            <w:tr w:rsidR="007A41BA" w:rsidRPr="00915E91" w14:paraId="6136F17D" w14:textId="77777777" w:rsidTr="00CC1C3D">
              <w:tc>
                <w:tcPr>
                  <w:tcW w:w="1134" w:type="dxa"/>
                  <w:vAlign w:val="center"/>
                </w:tcPr>
                <w:p w14:paraId="38B2C42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SECJU</w:t>
                  </w:r>
                </w:p>
              </w:tc>
              <w:tc>
                <w:tcPr>
                  <w:tcW w:w="7797" w:type="dxa"/>
                  <w:vAlign w:val="center"/>
                </w:tcPr>
                <w:p w14:paraId="3D1B73D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Secretaria Judiciária do 2º grau</w:t>
                  </w:r>
                </w:p>
              </w:tc>
            </w:tr>
            <w:tr w:rsidR="007A41BA" w:rsidRPr="00915E91" w14:paraId="3963C5FB" w14:textId="77777777" w:rsidTr="00CC1C3D">
              <w:tc>
                <w:tcPr>
                  <w:tcW w:w="1134" w:type="dxa"/>
                  <w:vAlign w:val="center"/>
                  <w:hideMark/>
                </w:tcPr>
                <w:p w14:paraId="13DB3D1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SECOB</w:t>
                  </w:r>
                </w:p>
              </w:tc>
              <w:tc>
                <w:tcPr>
                  <w:tcW w:w="7797" w:type="dxa"/>
                  <w:vAlign w:val="center"/>
                  <w:hideMark/>
                </w:tcPr>
                <w:p w14:paraId="5CC2D49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de Contabilidade</w:t>
                  </w:r>
                </w:p>
              </w:tc>
            </w:tr>
            <w:tr w:rsidR="007A41BA" w:rsidRPr="00915E91" w14:paraId="72E33AC2" w14:textId="77777777" w:rsidTr="00CC1C3D">
              <w:tc>
                <w:tcPr>
                  <w:tcW w:w="1134" w:type="dxa"/>
                  <w:vAlign w:val="center"/>
                  <w:hideMark/>
                </w:tcPr>
                <w:p w14:paraId="43AF0F7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SECOF</w:t>
                  </w:r>
                </w:p>
              </w:tc>
              <w:tc>
                <w:tcPr>
                  <w:tcW w:w="7797" w:type="dxa"/>
                  <w:vAlign w:val="center"/>
                  <w:hideMark/>
                </w:tcPr>
                <w:p w14:paraId="2DF0330D"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Secretaria de Orçamento, Finanças e Contratações</w:t>
                  </w:r>
                </w:p>
              </w:tc>
            </w:tr>
            <w:tr w:rsidR="007A41BA" w:rsidRPr="00915E91" w14:paraId="09ED8A2C" w14:textId="77777777" w:rsidTr="00CC1C3D">
              <w:tc>
                <w:tcPr>
                  <w:tcW w:w="1134" w:type="dxa"/>
                  <w:vAlign w:val="center"/>
                </w:tcPr>
                <w:p w14:paraId="125217C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SEGET</w:t>
                  </w:r>
                </w:p>
              </w:tc>
              <w:tc>
                <w:tcPr>
                  <w:tcW w:w="7797" w:type="dxa"/>
                  <w:vAlign w:val="center"/>
                </w:tcPr>
                <w:p w14:paraId="72678F3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de Gestão e Suporte aos Contratos de Terceirização</w:t>
                  </w:r>
                </w:p>
              </w:tc>
            </w:tr>
            <w:tr w:rsidR="007A41BA" w:rsidRPr="00915E91" w14:paraId="0114697D" w14:textId="77777777" w:rsidTr="00CC1C3D">
              <w:tc>
                <w:tcPr>
                  <w:tcW w:w="1134" w:type="dxa"/>
                  <w:vAlign w:val="center"/>
                  <w:hideMark/>
                </w:tcPr>
                <w:p w14:paraId="78DA6A2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SEI</w:t>
                  </w:r>
                </w:p>
              </w:tc>
              <w:tc>
                <w:tcPr>
                  <w:tcW w:w="7797" w:type="dxa"/>
                  <w:vAlign w:val="center"/>
                  <w:hideMark/>
                </w:tcPr>
                <w:p w14:paraId="6E279F3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Sistema Eletrônico de Informação</w:t>
                  </w:r>
                </w:p>
              </w:tc>
            </w:tr>
            <w:tr w:rsidR="007A41BA" w:rsidRPr="00915E91" w14:paraId="0775892A" w14:textId="77777777" w:rsidTr="00CC1C3D">
              <w:tc>
                <w:tcPr>
                  <w:tcW w:w="1134" w:type="dxa"/>
                  <w:vAlign w:val="center"/>
                </w:tcPr>
                <w:p w14:paraId="071F85C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SELIT</w:t>
                  </w:r>
                </w:p>
              </w:tc>
              <w:tc>
                <w:tcPr>
                  <w:tcW w:w="7797" w:type="dxa"/>
                  <w:vAlign w:val="center"/>
                </w:tcPr>
                <w:p w14:paraId="5F5CD57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de Licitações</w:t>
                  </w:r>
                </w:p>
              </w:tc>
            </w:tr>
            <w:tr w:rsidR="007A41BA" w:rsidRPr="00915E91" w14:paraId="13C8BBD2" w14:textId="77777777" w:rsidTr="00CC1C3D">
              <w:tc>
                <w:tcPr>
                  <w:tcW w:w="1134" w:type="dxa"/>
                  <w:vAlign w:val="center"/>
                  <w:hideMark/>
                </w:tcPr>
                <w:p w14:paraId="431BCD1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SEMAP</w:t>
                  </w:r>
                </w:p>
              </w:tc>
              <w:tc>
                <w:tcPr>
                  <w:tcW w:w="7797" w:type="dxa"/>
                  <w:vAlign w:val="center"/>
                  <w:hideMark/>
                </w:tcPr>
                <w:p w14:paraId="1C9824C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de Material e Patrimônio</w:t>
                  </w:r>
                </w:p>
              </w:tc>
            </w:tr>
            <w:tr w:rsidR="007A41BA" w:rsidRPr="00915E91" w14:paraId="0184E55C" w14:textId="77777777" w:rsidTr="00CC1C3D">
              <w:tc>
                <w:tcPr>
                  <w:tcW w:w="1134" w:type="dxa"/>
                  <w:vAlign w:val="center"/>
                  <w:hideMark/>
                </w:tcPr>
                <w:p w14:paraId="16DA179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SEORC</w:t>
                  </w:r>
                </w:p>
              </w:tc>
              <w:tc>
                <w:tcPr>
                  <w:tcW w:w="7797" w:type="dxa"/>
                  <w:vAlign w:val="center"/>
                  <w:hideMark/>
                </w:tcPr>
                <w:p w14:paraId="47C8E84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de Execução Orçamentária</w:t>
                  </w:r>
                </w:p>
              </w:tc>
            </w:tr>
            <w:tr w:rsidR="007A41BA" w:rsidRPr="00915E91" w14:paraId="455FBDDA" w14:textId="77777777" w:rsidTr="00CC1C3D">
              <w:tc>
                <w:tcPr>
                  <w:tcW w:w="1134" w:type="dxa"/>
                  <w:vAlign w:val="center"/>
                  <w:hideMark/>
                </w:tcPr>
                <w:p w14:paraId="625FB8E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SEPAG</w:t>
                  </w:r>
                </w:p>
              </w:tc>
              <w:tc>
                <w:tcPr>
                  <w:tcW w:w="7797" w:type="dxa"/>
                  <w:vAlign w:val="center"/>
                  <w:hideMark/>
                </w:tcPr>
                <w:p w14:paraId="0D45AF3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de Pagamento de Pessoal</w:t>
                  </w:r>
                </w:p>
              </w:tc>
            </w:tr>
            <w:tr w:rsidR="007A41BA" w:rsidRPr="00915E91" w14:paraId="574D3534" w14:textId="77777777" w:rsidTr="00CC1C3D">
              <w:tc>
                <w:tcPr>
                  <w:tcW w:w="1134" w:type="dxa"/>
                  <w:vAlign w:val="center"/>
                  <w:hideMark/>
                </w:tcPr>
                <w:p w14:paraId="05032B1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SIAFI</w:t>
                  </w:r>
                </w:p>
              </w:tc>
              <w:tc>
                <w:tcPr>
                  <w:tcW w:w="7797" w:type="dxa"/>
                  <w:vAlign w:val="center"/>
                  <w:hideMark/>
                </w:tcPr>
                <w:p w14:paraId="6599C5FC"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Sistema Integrado de Administração Financeira</w:t>
                  </w:r>
                </w:p>
              </w:tc>
            </w:tr>
            <w:tr w:rsidR="007A41BA" w:rsidRPr="00915E91" w14:paraId="62A5FDFC" w14:textId="77777777" w:rsidTr="00CC1C3D">
              <w:tc>
                <w:tcPr>
                  <w:tcW w:w="1134" w:type="dxa"/>
                  <w:vAlign w:val="center"/>
                  <w:hideMark/>
                </w:tcPr>
                <w:p w14:paraId="47FEF1D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SICAM</w:t>
                  </w:r>
                </w:p>
              </w:tc>
              <w:tc>
                <w:tcPr>
                  <w:tcW w:w="7797" w:type="dxa"/>
                  <w:vAlign w:val="center"/>
                  <w:hideMark/>
                </w:tcPr>
                <w:p w14:paraId="1A91B3A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Sistema de Aquisição e Controle de Material e Serviços</w:t>
                  </w:r>
                </w:p>
              </w:tc>
            </w:tr>
            <w:tr w:rsidR="007A41BA" w:rsidRPr="00915E91" w14:paraId="25DC4DF9" w14:textId="77777777" w:rsidTr="00CC1C3D">
              <w:tc>
                <w:tcPr>
                  <w:tcW w:w="1134" w:type="dxa"/>
                  <w:vAlign w:val="center"/>
                </w:tcPr>
                <w:p w14:paraId="150D911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SISUR</w:t>
                  </w:r>
                </w:p>
              </w:tc>
              <w:tc>
                <w:tcPr>
                  <w:tcW w:w="7797" w:type="dxa"/>
                  <w:vAlign w:val="center"/>
                </w:tcPr>
                <w:p w14:paraId="44846325"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Sistema Unificado de Rubricas de Pagamento de Pessoal </w:t>
                  </w:r>
                </w:p>
              </w:tc>
            </w:tr>
            <w:tr w:rsidR="007A41BA" w:rsidRPr="00915E91" w14:paraId="34FB7247" w14:textId="77777777" w:rsidTr="00CC1C3D">
              <w:tc>
                <w:tcPr>
                  <w:tcW w:w="1134" w:type="dxa"/>
                  <w:vAlign w:val="center"/>
                </w:tcPr>
                <w:p w14:paraId="0FA8008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SJBA</w:t>
                  </w:r>
                </w:p>
              </w:tc>
              <w:tc>
                <w:tcPr>
                  <w:tcW w:w="7797" w:type="dxa"/>
                  <w:vAlign w:val="center"/>
                </w:tcPr>
                <w:p w14:paraId="3B29284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Judiciária da Bahia</w:t>
                  </w:r>
                </w:p>
              </w:tc>
            </w:tr>
            <w:tr w:rsidR="007A41BA" w:rsidRPr="00915E91" w14:paraId="663F2DC6" w14:textId="77777777" w:rsidTr="00CC1C3D">
              <w:tc>
                <w:tcPr>
                  <w:tcW w:w="1134" w:type="dxa"/>
                  <w:vAlign w:val="center"/>
                  <w:hideMark/>
                </w:tcPr>
                <w:p w14:paraId="2D5BEE0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SJMG</w:t>
                  </w:r>
                </w:p>
              </w:tc>
              <w:tc>
                <w:tcPr>
                  <w:tcW w:w="7797" w:type="dxa"/>
                  <w:vAlign w:val="center"/>
                  <w:hideMark/>
                </w:tcPr>
                <w:p w14:paraId="3AC6588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Judiciária de Minas Gerais</w:t>
                  </w:r>
                </w:p>
              </w:tc>
            </w:tr>
            <w:tr w:rsidR="007A41BA" w:rsidRPr="00915E91" w14:paraId="759C9507" w14:textId="77777777" w:rsidTr="00CC1C3D">
              <w:tc>
                <w:tcPr>
                  <w:tcW w:w="1134" w:type="dxa"/>
                  <w:vAlign w:val="center"/>
                </w:tcPr>
                <w:p w14:paraId="20CBF30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SJMT</w:t>
                  </w:r>
                </w:p>
              </w:tc>
              <w:tc>
                <w:tcPr>
                  <w:tcW w:w="7797" w:type="dxa"/>
                  <w:vAlign w:val="center"/>
                </w:tcPr>
                <w:p w14:paraId="4B361A5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Seção Judiciária do Mato Grosso</w:t>
                  </w:r>
                </w:p>
              </w:tc>
            </w:tr>
            <w:tr w:rsidR="007A41BA" w:rsidRPr="00915E91" w14:paraId="3C782DDD" w14:textId="77777777" w:rsidTr="00CC1C3D">
              <w:tc>
                <w:tcPr>
                  <w:tcW w:w="1134" w:type="dxa"/>
                  <w:vAlign w:val="center"/>
                  <w:hideMark/>
                </w:tcPr>
                <w:p w14:paraId="130E143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proofErr w:type="spellStart"/>
                  <w:r w:rsidRPr="00915E91">
                    <w:rPr>
                      <w:rFonts w:ascii="Times New Roman" w:eastAsia="Times New Roman" w:hAnsi="Times New Roman" w:cs="Times New Roman"/>
                      <w:sz w:val="20"/>
                      <w:szCs w:val="20"/>
                      <w:lang w:eastAsia="pt-BR"/>
                    </w:rPr>
                    <w:t>SPIUnet</w:t>
                  </w:r>
                  <w:proofErr w:type="spellEnd"/>
                </w:p>
              </w:tc>
              <w:tc>
                <w:tcPr>
                  <w:tcW w:w="7797" w:type="dxa"/>
                  <w:vAlign w:val="center"/>
                  <w:hideMark/>
                </w:tcPr>
                <w:p w14:paraId="1E29965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Sistema de Gerenciamento dos Imóveis de Uso Especial da União</w:t>
                  </w:r>
                </w:p>
              </w:tc>
            </w:tr>
            <w:tr w:rsidR="007A41BA" w:rsidRPr="00915E91" w14:paraId="1EF12279" w14:textId="77777777" w:rsidTr="00CC1C3D">
              <w:tc>
                <w:tcPr>
                  <w:tcW w:w="1134" w:type="dxa"/>
                  <w:vAlign w:val="center"/>
                  <w:hideMark/>
                </w:tcPr>
                <w:p w14:paraId="698456F7"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SPO</w:t>
                  </w:r>
                </w:p>
              </w:tc>
              <w:tc>
                <w:tcPr>
                  <w:tcW w:w="7797" w:type="dxa"/>
                  <w:vAlign w:val="center"/>
                  <w:hideMark/>
                </w:tcPr>
                <w:p w14:paraId="1509403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Secretaria de Planejamento, Orçamento e Finanças</w:t>
                  </w:r>
                </w:p>
              </w:tc>
            </w:tr>
            <w:tr w:rsidR="007A41BA" w:rsidRPr="00915E91" w14:paraId="0B56F256" w14:textId="77777777" w:rsidTr="00CC1C3D">
              <w:tc>
                <w:tcPr>
                  <w:tcW w:w="1134" w:type="dxa"/>
                  <w:vAlign w:val="center"/>
                  <w:hideMark/>
                </w:tcPr>
                <w:p w14:paraId="23C4410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SPU</w:t>
                  </w:r>
                </w:p>
              </w:tc>
              <w:tc>
                <w:tcPr>
                  <w:tcW w:w="7797" w:type="dxa"/>
                  <w:vAlign w:val="center"/>
                  <w:hideMark/>
                </w:tcPr>
                <w:p w14:paraId="3B00089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Secretaria do Patrimônio da União</w:t>
                  </w:r>
                </w:p>
              </w:tc>
            </w:tr>
            <w:tr w:rsidR="007A41BA" w:rsidRPr="00915E91" w14:paraId="6F22CDC7" w14:textId="77777777" w:rsidTr="00CC1C3D">
              <w:tc>
                <w:tcPr>
                  <w:tcW w:w="1134" w:type="dxa"/>
                  <w:vAlign w:val="center"/>
                  <w:hideMark/>
                </w:tcPr>
                <w:p w14:paraId="219B806C"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SSJ</w:t>
                  </w:r>
                </w:p>
              </w:tc>
              <w:tc>
                <w:tcPr>
                  <w:tcW w:w="7797" w:type="dxa"/>
                  <w:vAlign w:val="center"/>
                  <w:hideMark/>
                </w:tcPr>
                <w:p w14:paraId="659A650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Subseção Judiciária</w:t>
                  </w:r>
                </w:p>
              </w:tc>
            </w:tr>
            <w:tr w:rsidR="007A41BA" w:rsidRPr="00915E91" w14:paraId="405033B9" w14:textId="77777777" w:rsidTr="00CC1C3D">
              <w:tc>
                <w:tcPr>
                  <w:tcW w:w="1134" w:type="dxa"/>
                  <w:vAlign w:val="center"/>
                  <w:hideMark/>
                </w:tcPr>
                <w:p w14:paraId="253D3E63"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STN</w:t>
                  </w:r>
                </w:p>
              </w:tc>
              <w:tc>
                <w:tcPr>
                  <w:tcW w:w="7797" w:type="dxa"/>
                  <w:vAlign w:val="center"/>
                  <w:hideMark/>
                </w:tcPr>
                <w:p w14:paraId="398F0F7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Secretaria do Tesouro Nacional</w:t>
                  </w:r>
                </w:p>
              </w:tc>
            </w:tr>
            <w:tr w:rsidR="007A41BA" w:rsidRPr="00915E91" w14:paraId="6BF660F3" w14:textId="77777777" w:rsidTr="00CC1C3D">
              <w:tc>
                <w:tcPr>
                  <w:tcW w:w="1134" w:type="dxa"/>
                  <w:vAlign w:val="center"/>
                </w:tcPr>
                <w:p w14:paraId="5FDD199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SUCEF</w:t>
                  </w:r>
                </w:p>
              </w:tc>
              <w:tc>
                <w:tcPr>
                  <w:tcW w:w="7797" w:type="dxa"/>
                  <w:vAlign w:val="center"/>
                </w:tcPr>
                <w:p w14:paraId="402BD0C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Subsecretaria de Contabilidade e Execução Financeira</w:t>
                  </w:r>
                </w:p>
              </w:tc>
            </w:tr>
            <w:tr w:rsidR="007A41BA" w:rsidRPr="00915E91" w14:paraId="09F6106C" w14:textId="77777777" w:rsidTr="00CC1C3D">
              <w:tc>
                <w:tcPr>
                  <w:tcW w:w="1134" w:type="dxa"/>
                  <w:vAlign w:val="center"/>
                </w:tcPr>
                <w:p w14:paraId="65F23C9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SUCPA</w:t>
                  </w:r>
                </w:p>
              </w:tc>
              <w:tc>
                <w:tcPr>
                  <w:tcW w:w="7797" w:type="dxa"/>
                  <w:vAlign w:val="center"/>
                </w:tcPr>
                <w:p w14:paraId="190C5A6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Subsecretaria de Cadastro e Pagamento de Pessoal</w:t>
                  </w:r>
                </w:p>
              </w:tc>
            </w:tr>
            <w:tr w:rsidR="007A41BA" w:rsidRPr="00915E91" w14:paraId="435291EC" w14:textId="77777777" w:rsidTr="00CC1C3D">
              <w:tc>
                <w:tcPr>
                  <w:tcW w:w="1134" w:type="dxa"/>
                  <w:vAlign w:val="center"/>
                </w:tcPr>
                <w:p w14:paraId="3FE0A64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SUINF</w:t>
                  </w:r>
                </w:p>
              </w:tc>
              <w:tc>
                <w:tcPr>
                  <w:tcW w:w="7797" w:type="dxa"/>
                  <w:vAlign w:val="center"/>
                </w:tcPr>
                <w:p w14:paraId="2857974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Subsecretaria de Infraestrutura</w:t>
                  </w:r>
                </w:p>
              </w:tc>
            </w:tr>
            <w:tr w:rsidR="007A41BA" w:rsidRPr="00915E91" w14:paraId="3F03AD07" w14:textId="77777777" w:rsidTr="00CC1C3D">
              <w:tc>
                <w:tcPr>
                  <w:tcW w:w="1134" w:type="dxa"/>
                  <w:vAlign w:val="center"/>
                </w:tcPr>
                <w:p w14:paraId="51B4E77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SULIC</w:t>
                  </w:r>
                </w:p>
              </w:tc>
              <w:tc>
                <w:tcPr>
                  <w:tcW w:w="7797" w:type="dxa"/>
                  <w:vAlign w:val="center"/>
                </w:tcPr>
                <w:p w14:paraId="2421C80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Subsecretaria de Licitações e Contratos</w:t>
                  </w:r>
                </w:p>
              </w:tc>
            </w:tr>
            <w:tr w:rsidR="007A41BA" w:rsidRPr="00915E91" w14:paraId="102DB673" w14:textId="77777777" w:rsidTr="00CC1C3D">
              <w:tc>
                <w:tcPr>
                  <w:tcW w:w="1134" w:type="dxa"/>
                  <w:vAlign w:val="center"/>
                </w:tcPr>
                <w:p w14:paraId="0B11C26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SUMES</w:t>
                  </w:r>
                </w:p>
              </w:tc>
              <w:tc>
                <w:tcPr>
                  <w:tcW w:w="7797" w:type="dxa"/>
                  <w:vAlign w:val="center"/>
                </w:tcPr>
                <w:p w14:paraId="435ADF1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Subsecretaria de Manutenção, Engenharia e Serviços Gerais</w:t>
                  </w:r>
                </w:p>
              </w:tc>
            </w:tr>
            <w:tr w:rsidR="007A41BA" w:rsidRPr="00915E91" w14:paraId="6BEC8EFD" w14:textId="77777777" w:rsidTr="00CC1C3D">
              <w:tc>
                <w:tcPr>
                  <w:tcW w:w="1134" w:type="dxa"/>
                  <w:vAlign w:val="center"/>
                </w:tcPr>
                <w:p w14:paraId="44BD10A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SUPLO</w:t>
                  </w:r>
                </w:p>
              </w:tc>
              <w:tc>
                <w:tcPr>
                  <w:tcW w:w="7797" w:type="dxa"/>
                  <w:vAlign w:val="center"/>
                </w:tcPr>
                <w:p w14:paraId="2433A27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Subsecretaria de Planejamento Orçamentário</w:t>
                  </w:r>
                </w:p>
              </w:tc>
            </w:tr>
            <w:tr w:rsidR="007A41BA" w:rsidRPr="00915E91" w14:paraId="134798EB" w14:textId="77777777" w:rsidTr="00CC1C3D">
              <w:tc>
                <w:tcPr>
                  <w:tcW w:w="1134" w:type="dxa"/>
                  <w:vAlign w:val="center"/>
                </w:tcPr>
                <w:p w14:paraId="6D365EF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SUPRE</w:t>
                  </w:r>
                </w:p>
              </w:tc>
              <w:tc>
                <w:tcPr>
                  <w:tcW w:w="7797" w:type="dxa"/>
                  <w:vAlign w:val="center"/>
                </w:tcPr>
                <w:p w14:paraId="59E7237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Subsecretaria de Precatórios</w:t>
                  </w:r>
                </w:p>
              </w:tc>
            </w:tr>
            <w:tr w:rsidR="007A41BA" w:rsidRPr="00915E91" w14:paraId="78F97EC6" w14:textId="77777777" w:rsidTr="00CC1C3D">
              <w:tc>
                <w:tcPr>
                  <w:tcW w:w="1134" w:type="dxa"/>
                  <w:vAlign w:val="center"/>
                  <w:hideMark/>
                </w:tcPr>
                <w:p w14:paraId="3CC2344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TCU</w:t>
                  </w:r>
                </w:p>
              </w:tc>
              <w:tc>
                <w:tcPr>
                  <w:tcW w:w="7797" w:type="dxa"/>
                  <w:vAlign w:val="center"/>
                  <w:hideMark/>
                </w:tcPr>
                <w:p w14:paraId="015D726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Tribunal de Contas da União</w:t>
                  </w:r>
                </w:p>
              </w:tc>
            </w:tr>
            <w:tr w:rsidR="007A41BA" w:rsidRPr="00915E91" w14:paraId="5DFC050E" w14:textId="77777777" w:rsidTr="00CC1C3D">
              <w:tc>
                <w:tcPr>
                  <w:tcW w:w="1134" w:type="dxa"/>
                  <w:vAlign w:val="center"/>
                  <w:hideMark/>
                </w:tcPr>
                <w:p w14:paraId="1681711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TIC</w:t>
                  </w:r>
                </w:p>
              </w:tc>
              <w:tc>
                <w:tcPr>
                  <w:tcW w:w="7797" w:type="dxa"/>
                  <w:vAlign w:val="center"/>
                  <w:hideMark/>
                </w:tcPr>
                <w:p w14:paraId="7EDC2172"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Tecnologia da Informação</w:t>
                  </w:r>
                </w:p>
              </w:tc>
            </w:tr>
            <w:tr w:rsidR="007A41BA" w:rsidRPr="00915E91" w14:paraId="627727C4" w14:textId="77777777" w:rsidTr="00CC1C3D">
              <w:tc>
                <w:tcPr>
                  <w:tcW w:w="1134" w:type="dxa"/>
                  <w:vAlign w:val="center"/>
                </w:tcPr>
                <w:p w14:paraId="285AC0A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TR</w:t>
                  </w:r>
                </w:p>
              </w:tc>
              <w:tc>
                <w:tcPr>
                  <w:tcW w:w="7797" w:type="dxa"/>
                  <w:vAlign w:val="center"/>
                </w:tcPr>
                <w:p w14:paraId="3C9CB276"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Termo de Referência</w:t>
                  </w:r>
                </w:p>
              </w:tc>
            </w:tr>
            <w:tr w:rsidR="007A41BA" w:rsidRPr="00915E91" w14:paraId="47C7E388" w14:textId="77777777" w:rsidTr="00CC1C3D">
              <w:tc>
                <w:tcPr>
                  <w:tcW w:w="1134" w:type="dxa"/>
                  <w:vAlign w:val="center"/>
                  <w:hideMark/>
                </w:tcPr>
                <w:p w14:paraId="103D6E5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TRF1</w:t>
                  </w:r>
                </w:p>
              </w:tc>
              <w:tc>
                <w:tcPr>
                  <w:tcW w:w="7797" w:type="dxa"/>
                  <w:vAlign w:val="center"/>
                  <w:hideMark/>
                </w:tcPr>
                <w:p w14:paraId="1FBD99F4"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Tribunal Regional Federal da Primeira Região</w:t>
                  </w:r>
                </w:p>
              </w:tc>
            </w:tr>
            <w:tr w:rsidR="007A41BA" w:rsidRPr="00915E91" w14:paraId="04DD7560" w14:textId="77777777" w:rsidTr="00CC1C3D">
              <w:tc>
                <w:tcPr>
                  <w:tcW w:w="1134" w:type="dxa"/>
                  <w:vAlign w:val="center"/>
                  <w:hideMark/>
                </w:tcPr>
                <w:p w14:paraId="5A70B39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TRF6</w:t>
                  </w:r>
                </w:p>
              </w:tc>
              <w:tc>
                <w:tcPr>
                  <w:tcW w:w="7797" w:type="dxa"/>
                  <w:vAlign w:val="center"/>
                  <w:hideMark/>
                </w:tcPr>
                <w:p w14:paraId="30A6AA3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Tribunal Regional Federal da Sexta Região</w:t>
                  </w:r>
                </w:p>
              </w:tc>
            </w:tr>
            <w:tr w:rsidR="007A41BA" w:rsidRPr="00915E91" w14:paraId="1799F1A6" w14:textId="77777777" w:rsidTr="00CC1C3D">
              <w:tc>
                <w:tcPr>
                  <w:tcW w:w="1134" w:type="dxa"/>
                  <w:vAlign w:val="center"/>
                </w:tcPr>
                <w:p w14:paraId="3EEC927B"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UAA</w:t>
                  </w:r>
                </w:p>
              </w:tc>
              <w:tc>
                <w:tcPr>
                  <w:tcW w:w="7797" w:type="dxa"/>
                  <w:vAlign w:val="center"/>
                </w:tcPr>
                <w:p w14:paraId="14BC51C7"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Unidade Avançada de Atendimento</w:t>
                  </w:r>
                </w:p>
              </w:tc>
            </w:tr>
            <w:tr w:rsidR="007A41BA" w:rsidRPr="00915E91" w14:paraId="34BF2E68" w14:textId="77777777" w:rsidTr="00CC1C3D">
              <w:tc>
                <w:tcPr>
                  <w:tcW w:w="1134" w:type="dxa"/>
                  <w:vAlign w:val="center"/>
                  <w:hideMark/>
                </w:tcPr>
                <w:p w14:paraId="07D8232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UG</w:t>
                  </w:r>
                </w:p>
              </w:tc>
              <w:tc>
                <w:tcPr>
                  <w:tcW w:w="7797" w:type="dxa"/>
                  <w:vAlign w:val="center"/>
                  <w:hideMark/>
                </w:tcPr>
                <w:p w14:paraId="09CA6631"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Unidade Gestora</w:t>
                  </w:r>
                </w:p>
              </w:tc>
            </w:tr>
            <w:tr w:rsidR="007A41BA" w:rsidRPr="00915E91" w14:paraId="753D8B2A" w14:textId="77777777" w:rsidTr="00CC1C3D">
              <w:tc>
                <w:tcPr>
                  <w:tcW w:w="1134" w:type="dxa"/>
                  <w:vAlign w:val="center"/>
                  <w:hideMark/>
                </w:tcPr>
                <w:p w14:paraId="256425FF"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UO</w:t>
                  </w:r>
                </w:p>
              </w:tc>
              <w:tc>
                <w:tcPr>
                  <w:tcW w:w="7797" w:type="dxa"/>
                  <w:vAlign w:val="center"/>
                  <w:hideMark/>
                </w:tcPr>
                <w:p w14:paraId="0E1275CA"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Unidade Orçamentária</w:t>
                  </w:r>
                </w:p>
              </w:tc>
            </w:tr>
            <w:tr w:rsidR="007A41BA" w:rsidRPr="00915E91" w14:paraId="61C7BB9B" w14:textId="77777777" w:rsidTr="00CC1C3D">
              <w:tc>
                <w:tcPr>
                  <w:tcW w:w="1134" w:type="dxa"/>
                  <w:vAlign w:val="center"/>
                  <w:hideMark/>
                </w:tcPr>
                <w:p w14:paraId="5510C0B8"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UPC</w:t>
                  </w:r>
                </w:p>
              </w:tc>
              <w:tc>
                <w:tcPr>
                  <w:tcW w:w="7797" w:type="dxa"/>
                  <w:vAlign w:val="center"/>
                  <w:hideMark/>
                </w:tcPr>
                <w:p w14:paraId="7EBE336C"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Unidade Prestadora de Contas</w:t>
                  </w:r>
                </w:p>
              </w:tc>
            </w:tr>
            <w:tr w:rsidR="007A41BA" w:rsidRPr="00915E91" w14:paraId="477CE9C7" w14:textId="77777777" w:rsidTr="00CC1C3D">
              <w:tc>
                <w:tcPr>
                  <w:tcW w:w="1134" w:type="dxa"/>
                  <w:vAlign w:val="center"/>
                  <w:hideMark/>
                </w:tcPr>
                <w:p w14:paraId="46750F70"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VPA</w:t>
                  </w:r>
                </w:p>
              </w:tc>
              <w:tc>
                <w:tcPr>
                  <w:tcW w:w="7797" w:type="dxa"/>
                  <w:vAlign w:val="center"/>
                  <w:hideMark/>
                </w:tcPr>
                <w:p w14:paraId="13DE0545"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Variações Patrimoniais Aumentativas</w:t>
                  </w:r>
                </w:p>
              </w:tc>
            </w:tr>
            <w:tr w:rsidR="007A41BA" w:rsidRPr="00915E91" w14:paraId="3156A3D8" w14:textId="77777777" w:rsidTr="00CC1C3D">
              <w:tc>
                <w:tcPr>
                  <w:tcW w:w="1134" w:type="dxa"/>
                  <w:vAlign w:val="center"/>
                  <w:hideMark/>
                </w:tcPr>
                <w:p w14:paraId="1E215C9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VPD</w:t>
                  </w:r>
                </w:p>
              </w:tc>
              <w:tc>
                <w:tcPr>
                  <w:tcW w:w="7797" w:type="dxa"/>
                  <w:vAlign w:val="center"/>
                  <w:hideMark/>
                </w:tcPr>
                <w:p w14:paraId="00EA233E"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Variações Patrimoniais Diminutivas</w:t>
                  </w:r>
                </w:p>
              </w:tc>
            </w:tr>
            <w:tr w:rsidR="007A41BA" w:rsidRPr="00666E1E" w14:paraId="47BC4247" w14:textId="77777777" w:rsidTr="00CC1C3D">
              <w:tc>
                <w:tcPr>
                  <w:tcW w:w="1134" w:type="dxa"/>
                  <w:vAlign w:val="center"/>
                  <w:hideMark/>
                </w:tcPr>
                <w:p w14:paraId="63D85049" w14:textId="77777777" w:rsidR="007A41BA" w:rsidRPr="00915E91"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VR</w:t>
                  </w:r>
                </w:p>
              </w:tc>
              <w:tc>
                <w:tcPr>
                  <w:tcW w:w="7797" w:type="dxa"/>
                  <w:vAlign w:val="center"/>
                  <w:hideMark/>
                </w:tcPr>
                <w:p w14:paraId="7C8CFC69" w14:textId="77777777" w:rsidR="007A41BA" w:rsidRPr="00666E1E" w:rsidRDefault="007A41BA" w:rsidP="007A41BA">
                  <w:pPr>
                    <w:ind w:firstLine="0"/>
                    <w:jc w:val="both"/>
                    <w:rPr>
                      <w:rFonts w:ascii="Times New Roman" w:eastAsia="Times New Roman" w:hAnsi="Times New Roman" w:cs="Times New Roman"/>
                      <w:sz w:val="20"/>
                      <w:szCs w:val="20"/>
                      <w:lang w:eastAsia="pt-BR"/>
                    </w:rPr>
                  </w:pPr>
                  <w:r w:rsidRPr="00915E91">
                    <w:rPr>
                      <w:rFonts w:ascii="Times New Roman" w:eastAsia="Times New Roman" w:hAnsi="Times New Roman" w:cs="Times New Roman"/>
                      <w:sz w:val="20"/>
                      <w:szCs w:val="20"/>
                      <w:lang w:eastAsia="pt-BR"/>
                    </w:rPr>
                    <w:t>Valor de Referência</w:t>
                  </w:r>
                </w:p>
              </w:tc>
            </w:tr>
          </w:tbl>
          <w:p w14:paraId="48FCDCBC"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703" w:type="dxa"/>
            <w:vAlign w:val="center"/>
            <w:hideMark/>
          </w:tcPr>
          <w:p w14:paraId="27ACFC7A"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r w:rsidR="00A61C3A" w:rsidRPr="00C731A2" w14:paraId="4A862B58" w14:textId="77777777" w:rsidTr="004C5604">
        <w:tc>
          <w:tcPr>
            <w:tcW w:w="7959" w:type="dxa"/>
            <w:vAlign w:val="center"/>
            <w:hideMark/>
          </w:tcPr>
          <w:p w14:paraId="74749643"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703" w:type="dxa"/>
            <w:vAlign w:val="center"/>
            <w:hideMark/>
          </w:tcPr>
          <w:p w14:paraId="37B58A44"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r w:rsidR="00A61C3A" w:rsidRPr="00C731A2" w14:paraId="2364AF13" w14:textId="77777777" w:rsidTr="004C5604">
        <w:tc>
          <w:tcPr>
            <w:tcW w:w="7959" w:type="dxa"/>
            <w:vAlign w:val="center"/>
            <w:hideMark/>
          </w:tcPr>
          <w:p w14:paraId="1839A43D"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703" w:type="dxa"/>
            <w:vAlign w:val="center"/>
            <w:hideMark/>
          </w:tcPr>
          <w:p w14:paraId="765E86C2"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r w:rsidR="00A61C3A" w:rsidRPr="00C731A2" w14:paraId="2E094F5A" w14:textId="77777777" w:rsidTr="004C5604">
        <w:tc>
          <w:tcPr>
            <w:tcW w:w="7959" w:type="dxa"/>
            <w:vAlign w:val="center"/>
            <w:hideMark/>
          </w:tcPr>
          <w:p w14:paraId="689D2346"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703" w:type="dxa"/>
            <w:vAlign w:val="center"/>
            <w:hideMark/>
          </w:tcPr>
          <w:p w14:paraId="6F5F172F"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r w:rsidR="00A61C3A" w:rsidRPr="00C731A2" w14:paraId="31D73ED5" w14:textId="77777777" w:rsidTr="004C5604">
        <w:tc>
          <w:tcPr>
            <w:tcW w:w="7959" w:type="dxa"/>
            <w:vAlign w:val="center"/>
            <w:hideMark/>
          </w:tcPr>
          <w:p w14:paraId="3635EB1D"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703" w:type="dxa"/>
            <w:vAlign w:val="center"/>
            <w:hideMark/>
          </w:tcPr>
          <w:p w14:paraId="4D8992F2"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r w:rsidR="00A61C3A" w:rsidRPr="00C731A2" w14:paraId="2E5348D3" w14:textId="77777777" w:rsidTr="004C5604">
        <w:tc>
          <w:tcPr>
            <w:tcW w:w="7959" w:type="dxa"/>
            <w:vAlign w:val="center"/>
            <w:hideMark/>
          </w:tcPr>
          <w:p w14:paraId="299240F4"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703" w:type="dxa"/>
            <w:vAlign w:val="center"/>
            <w:hideMark/>
          </w:tcPr>
          <w:p w14:paraId="6AD2A6BB"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r w:rsidR="00A61C3A" w:rsidRPr="00C731A2" w14:paraId="625EE9AA" w14:textId="77777777" w:rsidTr="004C5604">
        <w:tc>
          <w:tcPr>
            <w:tcW w:w="7959" w:type="dxa"/>
            <w:vAlign w:val="center"/>
            <w:hideMark/>
          </w:tcPr>
          <w:p w14:paraId="4C1D87EA"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703" w:type="dxa"/>
            <w:vAlign w:val="center"/>
            <w:hideMark/>
          </w:tcPr>
          <w:p w14:paraId="23F3FDDE"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r w:rsidR="00A61C3A" w:rsidRPr="00C731A2" w14:paraId="6744586A" w14:textId="77777777" w:rsidTr="004C5604">
        <w:tc>
          <w:tcPr>
            <w:tcW w:w="7959" w:type="dxa"/>
            <w:vAlign w:val="center"/>
            <w:hideMark/>
          </w:tcPr>
          <w:p w14:paraId="6E370B8D"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703" w:type="dxa"/>
            <w:vAlign w:val="center"/>
            <w:hideMark/>
          </w:tcPr>
          <w:p w14:paraId="50C31689"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r w:rsidR="00A61C3A" w:rsidRPr="00C731A2" w14:paraId="262AE62F" w14:textId="77777777" w:rsidTr="004C5604">
        <w:tc>
          <w:tcPr>
            <w:tcW w:w="7959" w:type="dxa"/>
            <w:vAlign w:val="center"/>
            <w:hideMark/>
          </w:tcPr>
          <w:p w14:paraId="4400C1C2"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703" w:type="dxa"/>
            <w:vAlign w:val="center"/>
            <w:hideMark/>
          </w:tcPr>
          <w:p w14:paraId="6C1614DA"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bl>
    <w:p w14:paraId="56CD5DA2" w14:textId="77777777" w:rsidR="00A61C3A" w:rsidRPr="00A61C3A" w:rsidRDefault="00A61C3A" w:rsidP="00963040">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lastRenderedPageBreak/>
        <w:t>LISTA DE TABELAS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2"/>
        <w:gridCol w:w="7412"/>
      </w:tblGrid>
      <w:tr w:rsidR="00724591" w:rsidRPr="00C731A2" w14:paraId="102C5097" w14:textId="77777777" w:rsidTr="00B549BF">
        <w:trPr>
          <w:tblCellSpacing w:w="15" w:type="dxa"/>
        </w:trPr>
        <w:tc>
          <w:tcPr>
            <w:tcW w:w="1047" w:type="dxa"/>
            <w:vAlign w:val="center"/>
            <w:hideMark/>
          </w:tcPr>
          <w:p w14:paraId="1F8DF169" w14:textId="77777777" w:rsidR="00724591" w:rsidRPr="00C731A2" w:rsidRDefault="00724591" w:rsidP="00B549BF">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Tabela 1</w:t>
            </w:r>
          </w:p>
        </w:tc>
        <w:tc>
          <w:tcPr>
            <w:tcW w:w="7367" w:type="dxa"/>
            <w:vAlign w:val="center"/>
            <w:hideMark/>
          </w:tcPr>
          <w:p w14:paraId="23730FA7" w14:textId="77777777" w:rsidR="00724591" w:rsidRPr="00C731A2" w:rsidRDefault="00724591" w:rsidP="00B549BF">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bCs/>
                <w:color w:val="000000"/>
                <w:sz w:val="20"/>
                <w:szCs w:val="20"/>
                <w:lang w:eastAsia="pt-BR"/>
              </w:rPr>
              <w:t>Execução da Despesa - (R$)</w:t>
            </w:r>
          </w:p>
        </w:tc>
      </w:tr>
      <w:tr w:rsidR="00724591" w:rsidRPr="00C731A2" w14:paraId="33CE353B" w14:textId="77777777" w:rsidTr="00B549BF">
        <w:trPr>
          <w:tblCellSpacing w:w="15" w:type="dxa"/>
        </w:trPr>
        <w:tc>
          <w:tcPr>
            <w:tcW w:w="1047" w:type="dxa"/>
            <w:vAlign w:val="center"/>
            <w:hideMark/>
          </w:tcPr>
          <w:p w14:paraId="0F1C58F2" w14:textId="77777777" w:rsidR="00724591" w:rsidRPr="00C731A2" w:rsidRDefault="00724591" w:rsidP="00B549BF">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Tabela 2</w:t>
            </w:r>
          </w:p>
        </w:tc>
        <w:tc>
          <w:tcPr>
            <w:tcW w:w="7367" w:type="dxa"/>
            <w:vAlign w:val="center"/>
            <w:hideMark/>
          </w:tcPr>
          <w:p w14:paraId="4D8CF635" w14:textId="77777777" w:rsidR="00724591" w:rsidRPr="00C731A2" w:rsidRDefault="00724591" w:rsidP="00B549BF">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Classes do Ativo (R$)</w:t>
            </w:r>
          </w:p>
        </w:tc>
      </w:tr>
      <w:tr w:rsidR="00724591" w:rsidRPr="00C731A2" w14:paraId="0B3B31FD" w14:textId="77777777" w:rsidTr="00B549BF">
        <w:trPr>
          <w:tblCellSpacing w:w="15" w:type="dxa"/>
        </w:trPr>
        <w:tc>
          <w:tcPr>
            <w:tcW w:w="1047" w:type="dxa"/>
            <w:vAlign w:val="center"/>
            <w:hideMark/>
          </w:tcPr>
          <w:p w14:paraId="0ABCABAF" w14:textId="0608AF28" w:rsidR="00724591" w:rsidRPr="00C731A2" w:rsidRDefault="00724591" w:rsidP="00B549BF">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Tabela </w:t>
            </w:r>
            <w:r w:rsidR="00C24EF2">
              <w:rPr>
                <w:rFonts w:ascii="Times New Roman" w:eastAsia="Times New Roman" w:hAnsi="Times New Roman" w:cs="Times New Roman"/>
                <w:sz w:val="20"/>
                <w:szCs w:val="20"/>
                <w:lang w:eastAsia="pt-BR"/>
              </w:rPr>
              <w:t>3</w:t>
            </w:r>
          </w:p>
        </w:tc>
        <w:tc>
          <w:tcPr>
            <w:tcW w:w="7367" w:type="dxa"/>
            <w:vAlign w:val="center"/>
            <w:hideMark/>
          </w:tcPr>
          <w:p w14:paraId="031301DD" w14:textId="77777777" w:rsidR="00724591" w:rsidRPr="00C731A2" w:rsidRDefault="00724591" w:rsidP="00B549BF">
            <w:pPr>
              <w:ind w:firstLine="0"/>
              <w:jc w:val="both"/>
              <w:rPr>
                <w:rFonts w:ascii="Times New Roman" w:eastAsia="Times New Roman" w:hAnsi="Times New Roman" w:cs="Times New Roman"/>
                <w:sz w:val="20"/>
                <w:szCs w:val="20"/>
                <w:lang w:eastAsia="pt-BR"/>
              </w:rPr>
            </w:pPr>
            <w:r w:rsidRPr="00DF0DE8">
              <w:rPr>
                <w:rFonts w:ascii="Times New Roman" w:eastAsia="Times New Roman" w:hAnsi="Times New Roman" w:cs="Times New Roman"/>
                <w:bCs/>
                <w:color w:val="000000"/>
                <w:sz w:val="20"/>
                <w:szCs w:val="20"/>
                <w:lang w:eastAsia="pt-BR"/>
              </w:rPr>
              <w:t>Referências e percentuais adotados pelas EFS</w:t>
            </w:r>
          </w:p>
        </w:tc>
      </w:tr>
      <w:tr w:rsidR="00724591" w:rsidRPr="00C731A2" w14:paraId="0ADA127E" w14:textId="77777777" w:rsidTr="00B549BF">
        <w:trPr>
          <w:tblCellSpacing w:w="15" w:type="dxa"/>
        </w:trPr>
        <w:tc>
          <w:tcPr>
            <w:tcW w:w="1047" w:type="dxa"/>
            <w:vAlign w:val="center"/>
            <w:hideMark/>
          </w:tcPr>
          <w:p w14:paraId="78F95AF3" w14:textId="6E762D54" w:rsidR="00724591" w:rsidRPr="00C731A2" w:rsidRDefault="00724591" w:rsidP="00B549BF">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Tabela </w:t>
            </w:r>
            <w:r w:rsidR="00C24EF2">
              <w:rPr>
                <w:rFonts w:ascii="Times New Roman" w:eastAsia="Times New Roman" w:hAnsi="Times New Roman" w:cs="Times New Roman"/>
                <w:sz w:val="20"/>
                <w:szCs w:val="20"/>
                <w:lang w:eastAsia="pt-BR"/>
              </w:rPr>
              <w:t>4</w:t>
            </w:r>
          </w:p>
        </w:tc>
        <w:tc>
          <w:tcPr>
            <w:tcW w:w="7367" w:type="dxa"/>
            <w:vAlign w:val="center"/>
            <w:hideMark/>
          </w:tcPr>
          <w:p w14:paraId="11231B46" w14:textId="77777777" w:rsidR="00724591" w:rsidRPr="00C731A2" w:rsidRDefault="00724591" w:rsidP="00B549BF">
            <w:pPr>
              <w:ind w:firstLine="0"/>
              <w:jc w:val="both"/>
              <w:rPr>
                <w:rFonts w:ascii="Times New Roman" w:eastAsia="Times New Roman" w:hAnsi="Times New Roman" w:cs="Times New Roman"/>
                <w:sz w:val="20"/>
                <w:szCs w:val="20"/>
                <w:lang w:eastAsia="pt-BR"/>
              </w:rPr>
            </w:pPr>
            <w:r w:rsidRPr="00DF0DE8">
              <w:rPr>
                <w:rFonts w:ascii="Times New Roman" w:eastAsia="Times New Roman" w:hAnsi="Times New Roman" w:cs="Times New Roman"/>
                <w:bCs/>
                <w:color w:val="000000"/>
                <w:sz w:val="20"/>
                <w:szCs w:val="20"/>
                <w:lang w:eastAsia="pt-BR"/>
              </w:rPr>
              <w:t>Níveis de Materialidade (R$)</w:t>
            </w:r>
          </w:p>
        </w:tc>
      </w:tr>
      <w:tr w:rsidR="00724591" w:rsidRPr="00C731A2" w14:paraId="5A822D7E" w14:textId="77777777" w:rsidTr="00B549BF">
        <w:trPr>
          <w:tblCellSpacing w:w="15" w:type="dxa"/>
        </w:trPr>
        <w:tc>
          <w:tcPr>
            <w:tcW w:w="1047" w:type="dxa"/>
            <w:vAlign w:val="center"/>
            <w:hideMark/>
          </w:tcPr>
          <w:p w14:paraId="6B0418E1" w14:textId="488727F5" w:rsidR="00724591" w:rsidRPr="00C731A2" w:rsidRDefault="00724591" w:rsidP="00B549BF">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Tabela </w:t>
            </w:r>
            <w:r w:rsidR="00C24EF2">
              <w:rPr>
                <w:rFonts w:ascii="Times New Roman" w:eastAsia="Times New Roman" w:hAnsi="Times New Roman" w:cs="Times New Roman"/>
                <w:sz w:val="20"/>
                <w:szCs w:val="20"/>
                <w:lang w:eastAsia="pt-BR"/>
              </w:rPr>
              <w:t>5</w:t>
            </w:r>
          </w:p>
        </w:tc>
        <w:tc>
          <w:tcPr>
            <w:tcW w:w="7367" w:type="dxa"/>
            <w:vAlign w:val="center"/>
            <w:hideMark/>
          </w:tcPr>
          <w:p w14:paraId="173B56EB" w14:textId="77777777" w:rsidR="00724591" w:rsidRPr="00C731A2" w:rsidRDefault="00724591" w:rsidP="00B549BF">
            <w:pPr>
              <w:ind w:firstLine="0"/>
              <w:jc w:val="both"/>
              <w:rPr>
                <w:rFonts w:ascii="Times New Roman" w:eastAsia="Times New Roman" w:hAnsi="Times New Roman" w:cs="Times New Roman"/>
                <w:sz w:val="20"/>
                <w:szCs w:val="20"/>
                <w:lang w:eastAsia="pt-BR"/>
              </w:rPr>
            </w:pPr>
            <w:r w:rsidRPr="00DF0DE8">
              <w:rPr>
                <w:rFonts w:ascii="Times New Roman" w:eastAsia="Times New Roman" w:hAnsi="Times New Roman" w:cs="Times New Roman"/>
                <w:bCs/>
                <w:color w:val="000000"/>
                <w:sz w:val="20"/>
                <w:szCs w:val="20"/>
                <w:lang w:eastAsia="pt-BR"/>
              </w:rPr>
              <w:t>Níveis de materialidade - Quadro comparativo da materialidade - Inicial X Revisada (R$)</w:t>
            </w:r>
          </w:p>
        </w:tc>
      </w:tr>
      <w:tr w:rsidR="00724591" w:rsidRPr="00C731A2" w14:paraId="6DF7FC68" w14:textId="77777777" w:rsidTr="00B549BF">
        <w:trPr>
          <w:tblCellSpacing w:w="15" w:type="dxa"/>
        </w:trPr>
        <w:tc>
          <w:tcPr>
            <w:tcW w:w="1047" w:type="dxa"/>
            <w:vAlign w:val="center"/>
            <w:hideMark/>
          </w:tcPr>
          <w:p w14:paraId="4F18167C" w14:textId="2C73E840" w:rsidR="00724591" w:rsidRPr="00C731A2" w:rsidRDefault="00724591" w:rsidP="00B549BF">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Tabela </w:t>
            </w:r>
            <w:r w:rsidR="00C24EF2">
              <w:rPr>
                <w:rFonts w:ascii="Times New Roman" w:eastAsia="Times New Roman" w:hAnsi="Times New Roman" w:cs="Times New Roman"/>
                <w:sz w:val="20"/>
                <w:szCs w:val="20"/>
                <w:lang w:eastAsia="pt-BR"/>
              </w:rPr>
              <w:t>6</w:t>
            </w:r>
          </w:p>
        </w:tc>
        <w:tc>
          <w:tcPr>
            <w:tcW w:w="7367" w:type="dxa"/>
            <w:vAlign w:val="center"/>
            <w:hideMark/>
          </w:tcPr>
          <w:p w14:paraId="6A237979" w14:textId="0A8D50EF" w:rsidR="00724591" w:rsidRPr="00C731A2" w:rsidRDefault="00724591" w:rsidP="00B549BF">
            <w:pPr>
              <w:ind w:firstLine="0"/>
              <w:jc w:val="both"/>
              <w:rPr>
                <w:rFonts w:ascii="Times New Roman" w:eastAsia="Times New Roman" w:hAnsi="Times New Roman" w:cs="Times New Roman"/>
                <w:sz w:val="20"/>
                <w:szCs w:val="20"/>
                <w:lang w:eastAsia="pt-BR"/>
              </w:rPr>
            </w:pPr>
            <w:r w:rsidRPr="00DF0DE8">
              <w:rPr>
                <w:rFonts w:ascii="Times New Roman" w:eastAsia="Times New Roman" w:hAnsi="Times New Roman" w:cs="Times New Roman"/>
                <w:bCs/>
                <w:color w:val="000000"/>
                <w:sz w:val="20"/>
                <w:szCs w:val="20"/>
                <w:lang w:eastAsia="pt-BR"/>
              </w:rPr>
              <w:t xml:space="preserve">Contas significativas por relevância financeira (≥ que ME) – </w:t>
            </w:r>
            <w:r w:rsidR="00CE3603">
              <w:rPr>
                <w:rFonts w:ascii="Times New Roman" w:eastAsia="Times New Roman" w:hAnsi="Times New Roman" w:cs="Times New Roman"/>
                <w:bCs/>
                <w:color w:val="000000"/>
                <w:sz w:val="20"/>
                <w:szCs w:val="20"/>
                <w:lang w:eastAsia="pt-BR"/>
              </w:rPr>
              <w:t>j</w:t>
            </w:r>
            <w:r w:rsidRPr="00DF0DE8">
              <w:rPr>
                <w:rFonts w:ascii="Times New Roman" w:eastAsia="Times New Roman" w:hAnsi="Times New Roman" w:cs="Times New Roman"/>
                <w:bCs/>
                <w:color w:val="000000"/>
                <w:sz w:val="20"/>
                <w:szCs w:val="20"/>
                <w:lang w:eastAsia="pt-BR"/>
              </w:rPr>
              <w:t>ulho/202</w:t>
            </w:r>
            <w:r w:rsidR="00CE3603">
              <w:rPr>
                <w:rFonts w:ascii="Times New Roman" w:eastAsia="Times New Roman" w:hAnsi="Times New Roman" w:cs="Times New Roman"/>
                <w:bCs/>
                <w:color w:val="000000"/>
                <w:sz w:val="20"/>
                <w:szCs w:val="20"/>
                <w:lang w:eastAsia="pt-BR"/>
              </w:rPr>
              <w:t>5</w:t>
            </w:r>
            <w:r w:rsidRPr="00DF0DE8">
              <w:rPr>
                <w:rFonts w:ascii="Times New Roman" w:eastAsia="Times New Roman" w:hAnsi="Times New Roman" w:cs="Times New Roman"/>
                <w:bCs/>
                <w:color w:val="000000"/>
                <w:sz w:val="20"/>
                <w:szCs w:val="20"/>
                <w:lang w:eastAsia="pt-BR"/>
              </w:rPr>
              <w:t xml:space="preserve"> </w:t>
            </w:r>
            <w:r>
              <w:rPr>
                <w:rFonts w:ascii="Times New Roman" w:eastAsia="Times New Roman" w:hAnsi="Times New Roman" w:cs="Times New Roman"/>
                <w:bCs/>
                <w:color w:val="000000"/>
                <w:sz w:val="20"/>
                <w:szCs w:val="20"/>
                <w:lang w:eastAsia="pt-BR"/>
              </w:rPr>
              <w:t>–</w:t>
            </w:r>
            <w:r w:rsidRPr="00DF0DE8">
              <w:rPr>
                <w:rFonts w:ascii="Times New Roman" w:eastAsia="Times New Roman" w:hAnsi="Times New Roman" w:cs="Times New Roman"/>
                <w:bCs/>
                <w:color w:val="000000"/>
                <w:sz w:val="20"/>
                <w:szCs w:val="20"/>
                <w:lang w:eastAsia="pt-BR"/>
              </w:rPr>
              <w:t xml:space="preserve"> Escopo</w:t>
            </w:r>
          </w:p>
        </w:tc>
      </w:tr>
      <w:tr w:rsidR="00724591" w:rsidRPr="00C731A2" w14:paraId="377FBEE3" w14:textId="77777777" w:rsidTr="00B549BF">
        <w:trPr>
          <w:tblCellSpacing w:w="15" w:type="dxa"/>
        </w:trPr>
        <w:tc>
          <w:tcPr>
            <w:tcW w:w="1047" w:type="dxa"/>
            <w:vAlign w:val="center"/>
            <w:hideMark/>
          </w:tcPr>
          <w:p w14:paraId="5D9B1FBC" w14:textId="58211AB5" w:rsidR="00724591" w:rsidRPr="00C731A2" w:rsidRDefault="00724591" w:rsidP="00B549BF">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Tabela </w:t>
            </w:r>
            <w:r w:rsidR="00C24EF2">
              <w:rPr>
                <w:rFonts w:ascii="Times New Roman" w:eastAsia="Times New Roman" w:hAnsi="Times New Roman" w:cs="Times New Roman"/>
                <w:sz w:val="20"/>
                <w:szCs w:val="20"/>
                <w:lang w:eastAsia="pt-BR"/>
              </w:rPr>
              <w:t>7</w:t>
            </w:r>
          </w:p>
        </w:tc>
        <w:tc>
          <w:tcPr>
            <w:tcW w:w="7367" w:type="dxa"/>
            <w:vAlign w:val="center"/>
            <w:hideMark/>
          </w:tcPr>
          <w:p w14:paraId="231D562D" w14:textId="437D2520" w:rsidR="00724591" w:rsidRPr="0009072C" w:rsidRDefault="00724591" w:rsidP="00B549BF">
            <w:pPr>
              <w:ind w:right="120" w:firstLine="0"/>
              <w:jc w:val="both"/>
              <w:rPr>
                <w:rFonts w:ascii="Times New Roman" w:eastAsia="Times New Roman" w:hAnsi="Times New Roman" w:cs="Times New Roman"/>
                <w:sz w:val="20"/>
                <w:szCs w:val="20"/>
                <w:lang w:eastAsia="pt-BR"/>
              </w:rPr>
            </w:pPr>
            <w:r w:rsidRPr="00DF0DE8">
              <w:rPr>
                <w:rFonts w:ascii="Times New Roman" w:eastAsia="Times New Roman" w:hAnsi="Times New Roman" w:cs="Times New Roman"/>
                <w:sz w:val="20"/>
                <w:szCs w:val="20"/>
                <w:lang w:eastAsia="pt-BR"/>
              </w:rPr>
              <w:t>Despesa sob a ótica orçamentária (natureza da despesa) por relevância financeira</w:t>
            </w:r>
            <w:r w:rsidR="00CE3603">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bCs/>
                <w:color w:val="000000"/>
                <w:sz w:val="20"/>
                <w:szCs w:val="20"/>
                <w:lang w:eastAsia="pt-BR"/>
              </w:rPr>
              <w:t xml:space="preserve">(≥ que ME) – </w:t>
            </w:r>
            <w:r w:rsidR="00CE3603">
              <w:rPr>
                <w:rFonts w:ascii="Times New Roman" w:eastAsia="Times New Roman" w:hAnsi="Times New Roman" w:cs="Times New Roman"/>
                <w:bCs/>
                <w:color w:val="000000"/>
                <w:sz w:val="20"/>
                <w:szCs w:val="20"/>
                <w:lang w:eastAsia="pt-BR"/>
              </w:rPr>
              <w:t>j</w:t>
            </w:r>
            <w:r>
              <w:rPr>
                <w:rFonts w:ascii="Times New Roman" w:eastAsia="Times New Roman" w:hAnsi="Times New Roman" w:cs="Times New Roman"/>
                <w:bCs/>
                <w:color w:val="000000"/>
                <w:sz w:val="20"/>
                <w:szCs w:val="20"/>
                <w:lang w:eastAsia="pt-BR"/>
              </w:rPr>
              <w:t>ulho/202</w:t>
            </w:r>
            <w:r w:rsidR="00CE3603">
              <w:rPr>
                <w:rFonts w:ascii="Times New Roman" w:eastAsia="Times New Roman" w:hAnsi="Times New Roman" w:cs="Times New Roman"/>
                <w:bCs/>
                <w:color w:val="000000"/>
                <w:sz w:val="20"/>
                <w:szCs w:val="20"/>
                <w:lang w:eastAsia="pt-BR"/>
              </w:rPr>
              <w:t>5</w:t>
            </w:r>
            <w:r w:rsidRPr="00DF0DE8">
              <w:rPr>
                <w:rFonts w:ascii="Times New Roman" w:eastAsia="Times New Roman" w:hAnsi="Times New Roman" w:cs="Times New Roman"/>
                <w:bCs/>
                <w:color w:val="000000"/>
                <w:sz w:val="20"/>
                <w:szCs w:val="20"/>
                <w:lang w:eastAsia="pt-BR"/>
              </w:rPr>
              <w:t xml:space="preserve"> – Precatórios e RPVs</w:t>
            </w:r>
          </w:p>
        </w:tc>
      </w:tr>
      <w:tr w:rsidR="00724591" w:rsidRPr="00C731A2" w14:paraId="12DC7B7B" w14:textId="77777777" w:rsidTr="00B549BF">
        <w:trPr>
          <w:tblCellSpacing w:w="15" w:type="dxa"/>
        </w:trPr>
        <w:tc>
          <w:tcPr>
            <w:tcW w:w="1047" w:type="dxa"/>
            <w:vAlign w:val="center"/>
            <w:hideMark/>
          </w:tcPr>
          <w:p w14:paraId="3ACAC955" w14:textId="29502592" w:rsidR="00724591" w:rsidRDefault="00724591" w:rsidP="00B549BF">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Tabela </w:t>
            </w:r>
            <w:r w:rsidR="00C24EF2">
              <w:rPr>
                <w:rFonts w:ascii="Times New Roman" w:eastAsia="Times New Roman" w:hAnsi="Times New Roman" w:cs="Times New Roman"/>
                <w:sz w:val="20"/>
                <w:szCs w:val="20"/>
                <w:lang w:eastAsia="pt-BR"/>
              </w:rPr>
              <w:t>8</w:t>
            </w:r>
          </w:p>
        </w:tc>
        <w:tc>
          <w:tcPr>
            <w:tcW w:w="7367" w:type="dxa"/>
            <w:vAlign w:val="center"/>
            <w:hideMark/>
          </w:tcPr>
          <w:p w14:paraId="109A8491" w14:textId="019F94CA" w:rsidR="00724591" w:rsidRPr="00DF0DE8" w:rsidRDefault="00724591" w:rsidP="00B549BF">
            <w:pPr>
              <w:ind w:right="120" w:firstLine="0"/>
              <w:jc w:val="both"/>
              <w:rPr>
                <w:rFonts w:ascii="Times New Roman" w:eastAsia="Times New Roman" w:hAnsi="Times New Roman" w:cs="Times New Roman"/>
                <w:sz w:val="20"/>
                <w:szCs w:val="20"/>
                <w:lang w:eastAsia="pt-BR"/>
              </w:rPr>
            </w:pPr>
            <w:r w:rsidRPr="00DF0DE8">
              <w:rPr>
                <w:rFonts w:ascii="Times New Roman" w:eastAsia="Times New Roman" w:hAnsi="Times New Roman" w:cs="Times New Roman"/>
                <w:bCs/>
                <w:color w:val="000000"/>
                <w:sz w:val="20"/>
                <w:szCs w:val="20"/>
                <w:lang w:eastAsia="pt-BR"/>
              </w:rPr>
              <w:t>Contas significativas por rel</w:t>
            </w:r>
            <w:r>
              <w:rPr>
                <w:rFonts w:ascii="Times New Roman" w:eastAsia="Times New Roman" w:hAnsi="Times New Roman" w:cs="Times New Roman"/>
                <w:bCs/>
                <w:color w:val="000000"/>
                <w:sz w:val="20"/>
                <w:szCs w:val="20"/>
                <w:lang w:eastAsia="pt-BR"/>
              </w:rPr>
              <w:t xml:space="preserve">evância qualitativa - </w:t>
            </w:r>
            <w:r w:rsidR="00CE3603">
              <w:rPr>
                <w:rFonts w:ascii="Times New Roman" w:eastAsia="Times New Roman" w:hAnsi="Times New Roman" w:cs="Times New Roman"/>
                <w:bCs/>
                <w:color w:val="000000"/>
                <w:sz w:val="20"/>
                <w:szCs w:val="20"/>
                <w:lang w:eastAsia="pt-BR"/>
              </w:rPr>
              <w:t>j</w:t>
            </w:r>
            <w:r>
              <w:rPr>
                <w:rFonts w:ascii="Times New Roman" w:eastAsia="Times New Roman" w:hAnsi="Times New Roman" w:cs="Times New Roman"/>
                <w:bCs/>
                <w:color w:val="000000"/>
                <w:sz w:val="20"/>
                <w:szCs w:val="20"/>
                <w:lang w:eastAsia="pt-BR"/>
              </w:rPr>
              <w:t>ulho/202</w:t>
            </w:r>
            <w:r w:rsidR="00CE3603">
              <w:rPr>
                <w:rFonts w:ascii="Times New Roman" w:eastAsia="Times New Roman" w:hAnsi="Times New Roman" w:cs="Times New Roman"/>
                <w:bCs/>
                <w:color w:val="000000"/>
                <w:sz w:val="20"/>
                <w:szCs w:val="20"/>
                <w:lang w:eastAsia="pt-BR"/>
              </w:rPr>
              <w:t>5</w:t>
            </w:r>
            <w:r w:rsidRPr="00DF0DE8">
              <w:rPr>
                <w:rFonts w:ascii="Times New Roman" w:eastAsia="Times New Roman" w:hAnsi="Times New Roman" w:cs="Times New Roman"/>
                <w:bCs/>
                <w:color w:val="000000"/>
                <w:sz w:val="20"/>
                <w:szCs w:val="20"/>
                <w:lang w:eastAsia="pt-BR"/>
              </w:rPr>
              <w:t xml:space="preserve"> - Escopo</w:t>
            </w:r>
          </w:p>
        </w:tc>
      </w:tr>
      <w:tr w:rsidR="00724591" w:rsidRPr="00C731A2" w14:paraId="761082E5" w14:textId="77777777" w:rsidTr="00B549BF">
        <w:trPr>
          <w:tblCellSpacing w:w="15" w:type="dxa"/>
        </w:trPr>
        <w:tc>
          <w:tcPr>
            <w:tcW w:w="1047" w:type="dxa"/>
            <w:vAlign w:val="center"/>
            <w:hideMark/>
          </w:tcPr>
          <w:p w14:paraId="2F79D821" w14:textId="09B35A18" w:rsidR="00724591" w:rsidRDefault="00724591" w:rsidP="00B549BF">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Tabela </w:t>
            </w:r>
            <w:r w:rsidR="00C24EF2">
              <w:rPr>
                <w:rFonts w:ascii="Times New Roman" w:eastAsia="Times New Roman" w:hAnsi="Times New Roman" w:cs="Times New Roman"/>
                <w:sz w:val="20"/>
                <w:szCs w:val="20"/>
                <w:lang w:eastAsia="pt-BR"/>
              </w:rPr>
              <w:t>9</w:t>
            </w:r>
          </w:p>
        </w:tc>
        <w:tc>
          <w:tcPr>
            <w:tcW w:w="7367" w:type="dxa"/>
            <w:vAlign w:val="center"/>
            <w:hideMark/>
          </w:tcPr>
          <w:p w14:paraId="70653789" w14:textId="5FA738E2" w:rsidR="00724591" w:rsidRPr="0009072C" w:rsidRDefault="00724591" w:rsidP="00B549BF">
            <w:pPr>
              <w:ind w:right="120" w:firstLine="0"/>
              <w:jc w:val="both"/>
              <w:rPr>
                <w:rFonts w:ascii="Times New Roman" w:eastAsia="Times New Roman" w:hAnsi="Times New Roman" w:cs="Times New Roman"/>
                <w:sz w:val="20"/>
                <w:szCs w:val="20"/>
                <w:lang w:eastAsia="pt-BR"/>
              </w:rPr>
            </w:pPr>
            <w:r w:rsidRPr="00DF0DE8">
              <w:rPr>
                <w:rFonts w:ascii="Times New Roman" w:eastAsia="Times New Roman" w:hAnsi="Times New Roman" w:cs="Times New Roman"/>
                <w:sz w:val="20"/>
                <w:szCs w:val="20"/>
                <w:lang w:eastAsia="pt-BR"/>
              </w:rPr>
              <w:t>Despesa sob a ótica orçamentária (natureza da despesa) por relevância qualitativa</w:t>
            </w:r>
            <w:r>
              <w:rPr>
                <w:rFonts w:ascii="Times New Roman" w:eastAsia="Times New Roman" w:hAnsi="Times New Roman" w:cs="Times New Roman"/>
                <w:bCs/>
                <w:color w:val="000000"/>
                <w:sz w:val="20"/>
                <w:szCs w:val="20"/>
                <w:lang w:eastAsia="pt-BR"/>
              </w:rPr>
              <w:t xml:space="preserve"> – </w:t>
            </w:r>
            <w:r w:rsidR="00CE3603">
              <w:rPr>
                <w:rFonts w:ascii="Times New Roman" w:eastAsia="Times New Roman" w:hAnsi="Times New Roman" w:cs="Times New Roman"/>
                <w:bCs/>
                <w:color w:val="000000"/>
                <w:sz w:val="20"/>
                <w:szCs w:val="20"/>
                <w:lang w:eastAsia="pt-BR"/>
              </w:rPr>
              <w:t>j</w:t>
            </w:r>
            <w:r>
              <w:rPr>
                <w:rFonts w:ascii="Times New Roman" w:eastAsia="Times New Roman" w:hAnsi="Times New Roman" w:cs="Times New Roman"/>
                <w:bCs/>
                <w:color w:val="000000"/>
                <w:sz w:val="20"/>
                <w:szCs w:val="20"/>
                <w:lang w:eastAsia="pt-BR"/>
              </w:rPr>
              <w:t>ulho/202</w:t>
            </w:r>
            <w:r w:rsidR="00CE3603">
              <w:rPr>
                <w:rFonts w:ascii="Times New Roman" w:eastAsia="Times New Roman" w:hAnsi="Times New Roman" w:cs="Times New Roman"/>
                <w:bCs/>
                <w:color w:val="000000"/>
                <w:sz w:val="20"/>
                <w:szCs w:val="20"/>
                <w:lang w:eastAsia="pt-BR"/>
              </w:rPr>
              <w:t>5</w:t>
            </w:r>
            <w:r w:rsidRPr="00DF0DE8">
              <w:rPr>
                <w:rFonts w:ascii="Times New Roman" w:eastAsia="Times New Roman" w:hAnsi="Times New Roman" w:cs="Times New Roman"/>
                <w:bCs/>
                <w:color w:val="000000"/>
                <w:sz w:val="20"/>
                <w:szCs w:val="20"/>
                <w:lang w:eastAsia="pt-BR"/>
              </w:rPr>
              <w:t xml:space="preserve"> – Precatórios e RPVs</w:t>
            </w:r>
          </w:p>
        </w:tc>
      </w:tr>
    </w:tbl>
    <w:p w14:paraId="727A7C68" w14:textId="77777777" w:rsidR="001F2898" w:rsidRDefault="001F2898" w:rsidP="00963040">
      <w:pPr>
        <w:ind w:firstLine="0"/>
        <w:jc w:val="both"/>
        <w:rPr>
          <w:rFonts w:ascii="Times New Roman" w:eastAsia="Times New Roman" w:hAnsi="Times New Roman" w:cs="Times New Roman"/>
          <w:sz w:val="24"/>
          <w:szCs w:val="24"/>
          <w:lang w:eastAsia="pt-BR"/>
        </w:rPr>
      </w:pPr>
    </w:p>
    <w:p w14:paraId="60038D4D" w14:textId="77777777" w:rsidR="00A61C3A" w:rsidRPr="00A61C3A" w:rsidRDefault="00A61C3A" w:rsidP="00963040">
      <w:pPr>
        <w:ind w:firstLine="0"/>
        <w:jc w:val="both"/>
        <w:rPr>
          <w:rFonts w:ascii="Times New Roman" w:eastAsia="Times New Roman" w:hAnsi="Times New Roman" w:cs="Times New Roman"/>
          <w:sz w:val="24"/>
          <w:szCs w:val="24"/>
          <w:lang w:eastAsia="pt-BR"/>
        </w:rPr>
      </w:pPr>
      <w:r w:rsidRPr="00A61C3A">
        <w:rPr>
          <w:rFonts w:ascii="Times New Roman" w:eastAsia="Times New Roman" w:hAnsi="Times New Roman" w:cs="Times New Roman"/>
          <w:b/>
          <w:bCs/>
          <w:sz w:val="24"/>
          <w:szCs w:val="24"/>
          <w:lang w:eastAsia="pt-BR"/>
        </w:rPr>
        <w:t>LISTA DE QUADROS</w:t>
      </w:r>
    </w:p>
    <w:tbl>
      <w:tblPr>
        <w:tblW w:w="9354" w:type="dxa"/>
        <w:tblCellMar>
          <w:top w:w="15" w:type="dxa"/>
          <w:left w:w="15" w:type="dxa"/>
          <w:bottom w:w="15" w:type="dxa"/>
          <w:right w:w="15" w:type="dxa"/>
        </w:tblCellMar>
        <w:tblLook w:val="04A0" w:firstRow="1" w:lastRow="0" w:firstColumn="1" w:lastColumn="0" w:noHBand="0" w:noVBand="1"/>
      </w:tblPr>
      <w:tblGrid>
        <w:gridCol w:w="9318"/>
        <w:gridCol w:w="36"/>
      </w:tblGrid>
      <w:tr w:rsidR="00A61C3A" w:rsidRPr="00C731A2" w14:paraId="25877104" w14:textId="77777777" w:rsidTr="00B1143D">
        <w:tc>
          <w:tcPr>
            <w:tcW w:w="9318" w:type="dxa"/>
            <w:vAlign w:val="center"/>
          </w:tcPr>
          <w:tbl>
            <w:tblPr>
              <w:tblW w:w="9345" w:type="dxa"/>
              <w:tblCellMar>
                <w:top w:w="15" w:type="dxa"/>
                <w:left w:w="15" w:type="dxa"/>
                <w:bottom w:w="15" w:type="dxa"/>
                <w:right w:w="15" w:type="dxa"/>
              </w:tblCellMar>
              <w:tblLook w:val="04A0" w:firstRow="1" w:lastRow="0" w:firstColumn="1" w:lastColumn="0" w:noHBand="0" w:noVBand="1"/>
            </w:tblPr>
            <w:tblGrid>
              <w:gridCol w:w="1134"/>
              <w:gridCol w:w="8211"/>
            </w:tblGrid>
            <w:tr w:rsidR="00ED154D" w:rsidRPr="00C731A2" w14:paraId="3F803774" w14:textId="77777777" w:rsidTr="000F55B4">
              <w:tc>
                <w:tcPr>
                  <w:tcW w:w="1134" w:type="dxa"/>
                  <w:vAlign w:val="center"/>
                  <w:hideMark/>
                </w:tcPr>
                <w:p w14:paraId="0350B5FE"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Quadro 1</w:t>
                  </w:r>
                </w:p>
              </w:tc>
              <w:tc>
                <w:tcPr>
                  <w:tcW w:w="8211" w:type="dxa"/>
                  <w:vAlign w:val="center"/>
                  <w:hideMark/>
                </w:tcPr>
                <w:p w14:paraId="4A627DC8"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 xml:space="preserve">Identificação </w:t>
                  </w:r>
                  <w:r>
                    <w:rPr>
                      <w:rFonts w:ascii="Times New Roman" w:eastAsia="Times New Roman" w:hAnsi="Times New Roman" w:cs="Times New Roman"/>
                      <w:sz w:val="20"/>
                      <w:szCs w:val="20"/>
                      <w:lang w:eastAsia="pt-BR"/>
                    </w:rPr>
                    <w:t>do Órgão</w:t>
                  </w:r>
                </w:p>
              </w:tc>
            </w:tr>
            <w:tr w:rsidR="00ED154D" w:rsidRPr="00C731A2" w14:paraId="4C2EAE90" w14:textId="77777777" w:rsidTr="000F55B4">
              <w:tc>
                <w:tcPr>
                  <w:tcW w:w="1134" w:type="dxa"/>
                  <w:vAlign w:val="center"/>
                  <w:hideMark/>
                </w:tcPr>
                <w:p w14:paraId="34DC26CC"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Quadro 2</w:t>
                  </w:r>
                </w:p>
              </w:tc>
              <w:tc>
                <w:tcPr>
                  <w:tcW w:w="8211" w:type="dxa"/>
                  <w:vAlign w:val="center"/>
                  <w:hideMark/>
                </w:tcPr>
                <w:p w14:paraId="7CC928C9"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Relação das Solicitações</w:t>
                  </w:r>
                  <w:r>
                    <w:rPr>
                      <w:rFonts w:ascii="Times New Roman" w:eastAsia="Times New Roman" w:hAnsi="Times New Roman" w:cs="Times New Roman"/>
                      <w:sz w:val="20"/>
                      <w:szCs w:val="20"/>
                      <w:lang w:eastAsia="pt-BR"/>
                    </w:rPr>
                    <w:t xml:space="preserve"> e Notas de Auditoria</w:t>
                  </w:r>
                </w:p>
              </w:tc>
            </w:tr>
            <w:tr w:rsidR="00ED154D" w:rsidRPr="00C731A2" w14:paraId="77332579" w14:textId="77777777" w:rsidTr="000F55B4">
              <w:tc>
                <w:tcPr>
                  <w:tcW w:w="1134" w:type="dxa"/>
                  <w:vAlign w:val="center"/>
                  <w:hideMark/>
                </w:tcPr>
                <w:p w14:paraId="35EBBAC8"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Quadro 3</w:t>
                  </w:r>
                </w:p>
              </w:tc>
              <w:tc>
                <w:tcPr>
                  <w:tcW w:w="8211" w:type="dxa"/>
                  <w:vAlign w:val="center"/>
                  <w:hideMark/>
                </w:tcPr>
                <w:p w14:paraId="2F6956C9" w14:textId="2FA4CF82" w:rsidR="00ED154D" w:rsidRPr="00C731A2" w:rsidRDefault="00CE3603" w:rsidP="00ED154D">
                  <w:pPr>
                    <w:ind w:firstLine="0"/>
                    <w:jc w:val="both"/>
                    <w:rPr>
                      <w:rFonts w:ascii="Times New Roman" w:eastAsia="Times New Roman" w:hAnsi="Times New Roman" w:cs="Times New Roman"/>
                      <w:sz w:val="20"/>
                      <w:szCs w:val="20"/>
                      <w:lang w:eastAsia="pt-BR"/>
                    </w:rPr>
                  </w:pPr>
                  <w:r w:rsidRPr="00B72CF3">
                    <w:rPr>
                      <w:rFonts w:ascii="Times New Roman" w:eastAsia="Times New Roman" w:hAnsi="Times New Roman" w:cs="Times New Roman"/>
                      <w:sz w:val="20"/>
                      <w:szCs w:val="20"/>
                      <w:lang w:eastAsia="pt-BR"/>
                    </w:rPr>
                    <w:t>Bens de pequeno valor registrados no SICAM (exemplificativo)</w:t>
                  </w:r>
                </w:p>
              </w:tc>
            </w:tr>
            <w:tr w:rsidR="00ED154D" w:rsidRPr="00C731A2" w14:paraId="373A3E99" w14:textId="77777777" w:rsidTr="000F55B4">
              <w:tc>
                <w:tcPr>
                  <w:tcW w:w="1134" w:type="dxa"/>
                  <w:vAlign w:val="center"/>
                  <w:hideMark/>
                </w:tcPr>
                <w:p w14:paraId="0031859A"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Quadro 4</w:t>
                  </w:r>
                </w:p>
              </w:tc>
              <w:tc>
                <w:tcPr>
                  <w:tcW w:w="8211" w:type="dxa"/>
                  <w:vAlign w:val="center"/>
                  <w:hideMark/>
                </w:tcPr>
                <w:p w14:paraId="06DF1521"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Resumo dos monitoramentos</w:t>
                  </w:r>
                </w:p>
              </w:tc>
            </w:tr>
            <w:tr w:rsidR="00ED154D" w:rsidRPr="00C731A2" w14:paraId="662B3874" w14:textId="77777777" w:rsidTr="000F55B4">
              <w:tc>
                <w:tcPr>
                  <w:tcW w:w="1134" w:type="dxa"/>
                  <w:vAlign w:val="center"/>
                  <w:hideMark/>
                </w:tcPr>
                <w:p w14:paraId="508050DC"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Quadro 5</w:t>
                  </w:r>
                </w:p>
              </w:tc>
              <w:tc>
                <w:tcPr>
                  <w:tcW w:w="8211" w:type="dxa"/>
                  <w:vAlign w:val="center"/>
                  <w:hideMark/>
                </w:tcPr>
                <w:p w14:paraId="65AAD7F1"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Síntese das recomendações com indicação da unidade responsável</w:t>
                  </w:r>
                </w:p>
              </w:tc>
            </w:tr>
            <w:tr w:rsidR="00ED154D" w:rsidRPr="00C731A2" w14:paraId="5F3DDE8F" w14:textId="77777777" w:rsidTr="000F55B4">
              <w:tc>
                <w:tcPr>
                  <w:tcW w:w="1134" w:type="dxa"/>
                  <w:vAlign w:val="center"/>
                  <w:hideMark/>
                </w:tcPr>
                <w:p w14:paraId="2321964E"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sidRPr="00C731A2">
                    <w:rPr>
                      <w:rFonts w:ascii="Times New Roman" w:eastAsia="Times New Roman" w:hAnsi="Times New Roman" w:cs="Times New Roman"/>
                      <w:sz w:val="20"/>
                      <w:szCs w:val="20"/>
                      <w:lang w:eastAsia="pt-BR"/>
                    </w:rPr>
                    <w:t>Quadro 6</w:t>
                  </w:r>
                </w:p>
              </w:tc>
              <w:tc>
                <w:tcPr>
                  <w:tcW w:w="8211" w:type="dxa"/>
                  <w:vAlign w:val="center"/>
                  <w:hideMark/>
                </w:tcPr>
                <w:p w14:paraId="5A8FF1D8" w14:textId="2B33E470" w:rsidR="00ED154D" w:rsidRPr="00C731A2" w:rsidRDefault="0056193E" w:rsidP="00ED154D">
                  <w:pPr>
                    <w:ind w:firstLine="0"/>
                    <w:jc w:val="both"/>
                    <w:rPr>
                      <w:rFonts w:ascii="Times New Roman" w:eastAsia="Times New Roman" w:hAnsi="Times New Roman" w:cs="Times New Roman"/>
                      <w:sz w:val="20"/>
                      <w:szCs w:val="20"/>
                      <w:lang w:eastAsia="pt-BR"/>
                    </w:rPr>
                  </w:pPr>
                  <w:r w:rsidRPr="00B72CF3">
                    <w:rPr>
                      <w:rFonts w:ascii="Times New Roman" w:hAnsi="Times New Roman" w:cs="Times New Roman"/>
                      <w:sz w:val="20"/>
                      <w:szCs w:val="20"/>
                    </w:rPr>
                    <w:t>Processos selecionados – Serviços de gestão da frota</w:t>
                  </w:r>
                </w:p>
              </w:tc>
            </w:tr>
            <w:tr w:rsidR="00ED154D" w:rsidRPr="00C731A2" w14:paraId="201A627A" w14:textId="77777777" w:rsidTr="000F55B4">
              <w:tc>
                <w:tcPr>
                  <w:tcW w:w="1134" w:type="dxa"/>
                  <w:vAlign w:val="center"/>
                  <w:hideMark/>
                </w:tcPr>
                <w:p w14:paraId="638FEDC9" w14:textId="77777777" w:rsidR="00ED154D" w:rsidRPr="00C731A2" w:rsidRDefault="00ED154D" w:rsidP="00ED154D">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Quadro 7</w:t>
                  </w:r>
                </w:p>
              </w:tc>
              <w:tc>
                <w:tcPr>
                  <w:tcW w:w="8211" w:type="dxa"/>
                  <w:vAlign w:val="center"/>
                  <w:hideMark/>
                </w:tcPr>
                <w:p w14:paraId="23A2300F" w14:textId="5879AC03" w:rsidR="00ED154D" w:rsidRPr="005C2785" w:rsidRDefault="005C2785" w:rsidP="00ED154D">
                  <w:pPr>
                    <w:ind w:firstLine="0"/>
                    <w:jc w:val="both"/>
                    <w:rPr>
                      <w:rFonts w:ascii="Times New Roman" w:hAnsi="Times New Roman" w:cs="Times New Roman"/>
                      <w:sz w:val="20"/>
                      <w:szCs w:val="20"/>
                    </w:rPr>
                  </w:pPr>
                  <w:r w:rsidRPr="005C2785">
                    <w:rPr>
                      <w:rFonts w:ascii="Times New Roman" w:hAnsi="Times New Roman" w:cs="Times New Roman"/>
                      <w:sz w:val="20"/>
                      <w:szCs w:val="20"/>
                    </w:rPr>
                    <w:t>Veículos da Amostra Avaliada</w:t>
                  </w:r>
                </w:p>
              </w:tc>
            </w:tr>
            <w:tr w:rsidR="0056193E" w:rsidRPr="00C731A2" w14:paraId="7D7BF0AB" w14:textId="77777777" w:rsidTr="000F55B4">
              <w:tc>
                <w:tcPr>
                  <w:tcW w:w="1134" w:type="dxa"/>
                  <w:vAlign w:val="center"/>
                </w:tcPr>
                <w:p w14:paraId="079D71B9" w14:textId="6D1DB70E" w:rsidR="0056193E" w:rsidRDefault="0056193E" w:rsidP="00ED154D">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Quadro 8</w:t>
                  </w:r>
                </w:p>
              </w:tc>
              <w:tc>
                <w:tcPr>
                  <w:tcW w:w="8211" w:type="dxa"/>
                  <w:vAlign w:val="center"/>
                </w:tcPr>
                <w:p w14:paraId="3E20702B" w14:textId="12AC88D4" w:rsidR="0056193E" w:rsidRPr="00B72CF3" w:rsidRDefault="005C2785" w:rsidP="005A53F2">
                  <w:pPr>
                    <w:spacing w:line="276" w:lineRule="auto"/>
                    <w:ind w:firstLine="0"/>
                    <w:rPr>
                      <w:rFonts w:ascii="Times New Roman" w:hAnsi="Times New Roman" w:cs="Times New Roman"/>
                      <w:sz w:val="20"/>
                      <w:szCs w:val="20"/>
                    </w:rPr>
                  </w:pPr>
                  <w:r w:rsidRPr="00B72CF3">
                    <w:rPr>
                      <w:rFonts w:ascii="Times New Roman" w:hAnsi="Times New Roman" w:cs="Times New Roman"/>
                      <w:sz w:val="20"/>
                      <w:szCs w:val="20"/>
                    </w:rPr>
                    <w:t>Processos selecionados – Serviços terceirizados com dedicação exclusiva de mão de obra</w:t>
                  </w:r>
                </w:p>
              </w:tc>
            </w:tr>
            <w:tr w:rsidR="005A53F2" w:rsidRPr="00C731A2" w14:paraId="16CE940A" w14:textId="77777777" w:rsidTr="000F55B4">
              <w:tc>
                <w:tcPr>
                  <w:tcW w:w="1134" w:type="dxa"/>
                  <w:vAlign w:val="center"/>
                </w:tcPr>
                <w:p w14:paraId="4A8C9CDF" w14:textId="200EBA67" w:rsidR="005A53F2" w:rsidRDefault="005A53F2" w:rsidP="00ED154D">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Quadro 9</w:t>
                  </w:r>
                </w:p>
              </w:tc>
              <w:tc>
                <w:tcPr>
                  <w:tcW w:w="8211" w:type="dxa"/>
                  <w:vAlign w:val="center"/>
                </w:tcPr>
                <w:p w14:paraId="0F6AFF3E" w14:textId="03832074" w:rsidR="005A53F2" w:rsidRPr="005A53F2" w:rsidRDefault="005C2785" w:rsidP="005A53F2">
                  <w:pPr>
                    <w:spacing w:line="276" w:lineRule="auto"/>
                    <w:ind w:firstLine="0"/>
                    <w:rPr>
                      <w:rFonts w:ascii="Times New Roman" w:hAnsi="Times New Roman" w:cs="Times New Roman"/>
                      <w:sz w:val="20"/>
                      <w:szCs w:val="20"/>
                    </w:rPr>
                  </w:pPr>
                  <w:r w:rsidRPr="005A53F2">
                    <w:rPr>
                      <w:rFonts w:ascii="Times New Roman" w:hAnsi="Times New Roman" w:cs="Times New Roman"/>
                      <w:sz w:val="20"/>
                      <w:szCs w:val="20"/>
                    </w:rPr>
                    <w:t>Processos Selecionados – Manutenção de Elevadores</w:t>
                  </w:r>
                </w:p>
              </w:tc>
            </w:tr>
            <w:tr w:rsidR="005C2785" w:rsidRPr="00C731A2" w14:paraId="63D62E48" w14:textId="77777777" w:rsidTr="000F55B4">
              <w:tc>
                <w:tcPr>
                  <w:tcW w:w="1134" w:type="dxa"/>
                  <w:vAlign w:val="center"/>
                </w:tcPr>
                <w:p w14:paraId="7A2E83B3" w14:textId="26CF5DD4" w:rsidR="005C2785" w:rsidRDefault="005C2785" w:rsidP="00ED154D">
                  <w:pPr>
                    <w:ind w:firstLine="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Quadro 10</w:t>
                  </w:r>
                </w:p>
              </w:tc>
              <w:tc>
                <w:tcPr>
                  <w:tcW w:w="8211" w:type="dxa"/>
                  <w:vAlign w:val="center"/>
                </w:tcPr>
                <w:p w14:paraId="657F686E" w14:textId="5F2493C8" w:rsidR="005C2785" w:rsidRPr="00B72CF3" w:rsidRDefault="005C2785" w:rsidP="005A53F2">
                  <w:pPr>
                    <w:spacing w:line="276" w:lineRule="auto"/>
                    <w:ind w:firstLine="0"/>
                    <w:rPr>
                      <w:rFonts w:ascii="Times New Roman" w:hAnsi="Times New Roman" w:cs="Times New Roman"/>
                      <w:sz w:val="20"/>
                      <w:szCs w:val="20"/>
                    </w:rPr>
                  </w:pPr>
                  <w:r w:rsidRPr="00B72CF3">
                    <w:rPr>
                      <w:rFonts w:ascii="Times New Roman" w:hAnsi="Times New Roman" w:cs="Times New Roman"/>
                      <w:sz w:val="20"/>
                      <w:szCs w:val="20"/>
                    </w:rPr>
                    <w:t>Processos selecionados – Serviços terceirizados com Dedicação Exclusiva de Mão de Obra, Foco no Pagamento</w:t>
                  </w:r>
                </w:p>
              </w:tc>
            </w:tr>
            <w:tr w:rsidR="0056193E" w:rsidRPr="00C731A2" w14:paraId="07A623F9" w14:textId="77777777" w:rsidTr="000F55B4">
              <w:tc>
                <w:tcPr>
                  <w:tcW w:w="1134" w:type="dxa"/>
                  <w:vAlign w:val="center"/>
                </w:tcPr>
                <w:p w14:paraId="5210DED0" w14:textId="77777777" w:rsidR="0056193E" w:rsidRDefault="0056193E" w:rsidP="00ED154D">
                  <w:pPr>
                    <w:ind w:firstLine="0"/>
                    <w:jc w:val="both"/>
                    <w:rPr>
                      <w:rFonts w:ascii="Times New Roman" w:eastAsia="Times New Roman" w:hAnsi="Times New Roman" w:cs="Times New Roman"/>
                      <w:sz w:val="20"/>
                      <w:szCs w:val="20"/>
                      <w:lang w:eastAsia="pt-BR"/>
                    </w:rPr>
                  </w:pPr>
                </w:p>
              </w:tc>
              <w:tc>
                <w:tcPr>
                  <w:tcW w:w="8211" w:type="dxa"/>
                  <w:vAlign w:val="center"/>
                </w:tcPr>
                <w:p w14:paraId="6C40A927" w14:textId="77777777" w:rsidR="0056193E" w:rsidRPr="00B72CF3" w:rsidRDefault="0056193E" w:rsidP="00ED154D">
                  <w:pPr>
                    <w:ind w:firstLine="0"/>
                    <w:jc w:val="both"/>
                    <w:rPr>
                      <w:rFonts w:ascii="Times New Roman" w:hAnsi="Times New Roman" w:cs="Times New Roman"/>
                      <w:sz w:val="20"/>
                      <w:szCs w:val="20"/>
                    </w:rPr>
                  </w:pPr>
                </w:p>
              </w:tc>
            </w:tr>
          </w:tbl>
          <w:p w14:paraId="2F40B08C"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c>
          <w:tcPr>
            <w:tcW w:w="36" w:type="dxa"/>
            <w:vAlign w:val="center"/>
          </w:tcPr>
          <w:p w14:paraId="5FC1B69C" w14:textId="77777777" w:rsidR="00A61C3A" w:rsidRPr="00C731A2" w:rsidRDefault="00A61C3A" w:rsidP="00963040">
            <w:pPr>
              <w:ind w:firstLine="0"/>
              <w:jc w:val="both"/>
              <w:rPr>
                <w:rFonts w:ascii="Times New Roman" w:eastAsia="Times New Roman" w:hAnsi="Times New Roman" w:cs="Times New Roman"/>
                <w:sz w:val="20"/>
                <w:szCs w:val="20"/>
                <w:lang w:eastAsia="pt-BR"/>
              </w:rPr>
            </w:pPr>
          </w:p>
        </w:tc>
      </w:tr>
    </w:tbl>
    <w:p w14:paraId="580760F9" w14:textId="69373AC8" w:rsidR="008C6EAF" w:rsidRPr="00A61C3A" w:rsidRDefault="00FA6084" w:rsidP="007E2043">
      <w:pPr>
        <w:spacing w:before="240"/>
        <w:ind w:firstLine="0"/>
        <w:rPr>
          <w:rFonts w:ascii="Times New Roman" w:hAnsi="Times New Roman" w:cs="Times New Roman"/>
          <w:sz w:val="24"/>
          <w:szCs w:val="24"/>
        </w:rPr>
      </w:pPr>
      <w:r w:rsidRPr="00FA6084">
        <w:rPr>
          <w:rFonts w:ascii="Times New Roman" w:hAnsi="Times New Roman" w:cs="Times New Roman"/>
          <w:sz w:val="24"/>
          <w:szCs w:val="24"/>
        </w:rPr>
        <w:drawing>
          <wp:inline distT="0" distB="0" distL="0" distR="0" wp14:anchorId="06D6FB81" wp14:editId="63C83B01">
            <wp:extent cx="5939790" cy="3491230"/>
            <wp:effectExtent l="0" t="0" r="3810" b="0"/>
            <wp:docPr id="9017381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38113" name=""/>
                    <pic:cNvPicPr/>
                  </pic:nvPicPr>
                  <pic:blipFill>
                    <a:blip r:embed="rId81"/>
                    <a:stretch>
                      <a:fillRect/>
                    </a:stretch>
                  </pic:blipFill>
                  <pic:spPr>
                    <a:xfrm>
                      <a:off x="0" y="0"/>
                      <a:ext cx="5939790" cy="3491230"/>
                    </a:xfrm>
                    <a:prstGeom prst="rect">
                      <a:avLst/>
                    </a:prstGeom>
                  </pic:spPr>
                </pic:pic>
              </a:graphicData>
            </a:graphic>
          </wp:inline>
        </w:drawing>
      </w:r>
    </w:p>
    <w:sectPr w:rsidR="008C6EAF" w:rsidRPr="00A61C3A" w:rsidSect="000B09CF">
      <w:pgSz w:w="11906" w:h="16838"/>
      <w:pgMar w:top="992"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473"/>
    <w:multiLevelType w:val="multilevel"/>
    <w:tmpl w:val="5FE2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B1781"/>
    <w:multiLevelType w:val="multilevel"/>
    <w:tmpl w:val="D9C6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C2135"/>
    <w:multiLevelType w:val="multilevel"/>
    <w:tmpl w:val="CC7EAA30"/>
    <w:lvl w:ilvl="0">
      <w:start w:val="1"/>
      <w:numFmt w:val="decimal"/>
      <w:lvlText w:val="%1-"/>
      <w:lvlJc w:val="left"/>
      <w:pPr>
        <w:tabs>
          <w:tab w:val="num" w:pos="1776"/>
        </w:tabs>
        <w:ind w:left="1776" w:hanging="360"/>
      </w:pPr>
      <w:rPr>
        <w:rFonts w:ascii="Times New Roman" w:eastAsia="Times New Roman" w:hAnsi="Times New Roman" w:cs="Times New Roman"/>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3" w15:restartNumberingAfterBreak="0">
    <w:nsid w:val="076610FC"/>
    <w:multiLevelType w:val="multilevel"/>
    <w:tmpl w:val="A7EC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834C2"/>
    <w:multiLevelType w:val="multilevel"/>
    <w:tmpl w:val="731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40274"/>
    <w:multiLevelType w:val="hybridMultilevel"/>
    <w:tmpl w:val="7BB67634"/>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9A52209"/>
    <w:multiLevelType w:val="multilevel"/>
    <w:tmpl w:val="D6A0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71287"/>
    <w:multiLevelType w:val="hybridMultilevel"/>
    <w:tmpl w:val="07B067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0C710B2D"/>
    <w:multiLevelType w:val="multilevel"/>
    <w:tmpl w:val="C24C80D8"/>
    <w:lvl w:ilvl="0">
      <w:start w:val="1"/>
      <w:numFmt w:val="bullet"/>
      <w:lvlText w:val=""/>
      <w:lvlJc w:val="left"/>
      <w:pPr>
        <w:tabs>
          <w:tab w:val="num" w:pos="576"/>
        </w:tabs>
        <w:ind w:left="576" w:hanging="360"/>
      </w:pPr>
      <w:rPr>
        <w:rFonts w:ascii="Symbol" w:hAnsi="Symbol"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
      <w:lvlJc w:val="left"/>
      <w:pPr>
        <w:tabs>
          <w:tab w:val="num" w:pos="2016"/>
        </w:tabs>
        <w:ind w:left="2016" w:hanging="360"/>
      </w:pPr>
      <w:rPr>
        <w:rFonts w:ascii="Wingdings" w:hAnsi="Wingdings" w:hint="default"/>
        <w:sz w:val="20"/>
      </w:rPr>
    </w:lvl>
    <w:lvl w:ilvl="3" w:tentative="1">
      <w:start w:val="1"/>
      <w:numFmt w:val="bullet"/>
      <w:lvlText w:val=""/>
      <w:lvlJc w:val="left"/>
      <w:pPr>
        <w:tabs>
          <w:tab w:val="num" w:pos="2736"/>
        </w:tabs>
        <w:ind w:left="2736" w:hanging="360"/>
      </w:pPr>
      <w:rPr>
        <w:rFonts w:ascii="Wingdings" w:hAnsi="Wingdings" w:hint="default"/>
        <w:sz w:val="20"/>
      </w:rPr>
    </w:lvl>
    <w:lvl w:ilvl="4" w:tentative="1">
      <w:start w:val="1"/>
      <w:numFmt w:val="bullet"/>
      <w:lvlText w:val=""/>
      <w:lvlJc w:val="left"/>
      <w:pPr>
        <w:tabs>
          <w:tab w:val="num" w:pos="3456"/>
        </w:tabs>
        <w:ind w:left="3456" w:hanging="360"/>
      </w:pPr>
      <w:rPr>
        <w:rFonts w:ascii="Wingdings" w:hAnsi="Wingdings" w:hint="default"/>
        <w:sz w:val="20"/>
      </w:rPr>
    </w:lvl>
    <w:lvl w:ilvl="5" w:tentative="1">
      <w:start w:val="1"/>
      <w:numFmt w:val="bullet"/>
      <w:lvlText w:val=""/>
      <w:lvlJc w:val="left"/>
      <w:pPr>
        <w:tabs>
          <w:tab w:val="num" w:pos="4176"/>
        </w:tabs>
        <w:ind w:left="4176" w:hanging="360"/>
      </w:pPr>
      <w:rPr>
        <w:rFonts w:ascii="Wingdings" w:hAnsi="Wingdings" w:hint="default"/>
        <w:sz w:val="20"/>
      </w:rPr>
    </w:lvl>
    <w:lvl w:ilvl="6" w:tentative="1">
      <w:start w:val="1"/>
      <w:numFmt w:val="bullet"/>
      <w:lvlText w:val=""/>
      <w:lvlJc w:val="left"/>
      <w:pPr>
        <w:tabs>
          <w:tab w:val="num" w:pos="4896"/>
        </w:tabs>
        <w:ind w:left="4896" w:hanging="360"/>
      </w:pPr>
      <w:rPr>
        <w:rFonts w:ascii="Wingdings" w:hAnsi="Wingdings" w:hint="default"/>
        <w:sz w:val="20"/>
      </w:rPr>
    </w:lvl>
    <w:lvl w:ilvl="7" w:tentative="1">
      <w:start w:val="1"/>
      <w:numFmt w:val="bullet"/>
      <w:lvlText w:val=""/>
      <w:lvlJc w:val="left"/>
      <w:pPr>
        <w:tabs>
          <w:tab w:val="num" w:pos="5616"/>
        </w:tabs>
        <w:ind w:left="5616" w:hanging="360"/>
      </w:pPr>
      <w:rPr>
        <w:rFonts w:ascii="Wingdings" w:hAnsi="Wingdings" w:hint="default"/>
        <w:sz w:val="20"/>
      </w:rPr>
    </w:lvl>
    <w:lvl w:ilvl="8" w:tentative="1">
      <w:start w:val="1"/>
      <w:numFmt w:val="bullet"/>
      <w:lvlText w:val=""/>
      <w:lvlJc w:val="left"/>
      <w:pPr>
        <w:tabs>
          <w:tab w:val="num" w:pos="6336"/>
        </w:tabs>
        <w:ind w:left="6336" w:hanging="360"/>
      </w:pPr>
      <w:rPr>
        <w:rFonts w:ascii="Wingdings" w:hAnsi="Wingdings" w:hint="default"/>
        <w:sz w:val="20"/>
      </w:rPr>
    </w:lvl>
  </w:abstractNum>
  <w:abstractNum w:abstractNumId="9" w15:restartNumberingAfterBreak="0">
    <w:nsid w:val="0D471941"/>
    <w:multiLevelType w:val="hybridMultilevel"/>
    <w:tmpl w:val="FD72C6D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15:restartNumberingAfterBreak="0">
    <w:nsid w:val="0F9A35B9"/>
    <w:multiLevelType w:val="hybridMultilevel"/>
    <w:tmpl w:val="85EE6D6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105D7BD4"/>
    <w:multiLevelType w:val="multilevel"/>
    <w:tmpl w:val="3C9CB5CE"/>
    <w:lvl w:ilvl="0">
      <w:start w:val="1"/>
      <w:numFmt w:val="decimal"/>
      <w:lvlText w:val="%1-"/>
      <w:lvlJc w:val="left"/>
      <w:pPr>
        <w:tabs>
          <w:tab w:val="num" w:pos="1353"/>
        </w:tabs>
        <w:ind w:left="1353" w:hanging="360"/>
      </w:pPr>
      <w:rPr>
        <w:rFonts w:hint="default"/>
        <w:sz w:val="24"/>
        <w:szCs w:val="24"/>
      </w:rPr>
    </w:lvl>
    <w:lvl w:ilvl="1" w:tentative="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abstractNum w:abstractNumId="12" w15:restartNumberingAfterBreak="0">
    <w:nsid w:val="10E70F36"/>
    <w:multiLevelType w:val="multilevel"/>
    <w:tmpl w:val="75B0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5340D4"/>
    <w:multiLevelType w:val="multilevel"/>
    <w:tmpl w:val="691C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9B6FAD"/>
    <w:multiLevelType w:val="hybridMultilevel"/>
    <w:tmpl w:val="E89C3E32"/>
    <w:lvl w:ilvl="0" w:tplc="5A66544E">
      <w:start w:val="1"/>
      <w:numFmt w:val="upperRoman"/>
      <w:lvlText w:val="%1."/>
      <w:lvlJc w:val="left"/>
      <w:pPr>
        <w:ind w:left="1080" w:hanging="720"/>
      </w:pPr>
      <w:rPr>
        <w:rFonts w:hint="default"/>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31948EE"/>
    <w:multiLevelType w:val="multilevel"/>
    <w:tmpl w:val="0ECA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D31058"/>
    <w:multiLevelType w:val="hybridMultilevel"/>
    <w:tmpl w:val="5EA2C94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16C81B14"/>
    <w:multiLevelType w:val="multilevel"/>
    <w:tmpl w:val="F0AE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D3518A"/>
    <w:multiLevelType w:val="multilevel"/>
    <w:tmpl w:val="A138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BC2137"/>
    <w:multiLevelType w:val="hybridMultilevel"/>
    <w:tmpl w:val="241476DE"/>
    <w:lvl w:ilvl="0" w:tplc="0416000F">
      <w:start w:val="1"/>
      <w:numFmt w:val="decimal"/>
      <w:lvlText w:val="%1."/>
      <w:lvlJc w:val="left"/>
      <w:pPr>
        <w:ind w:left="928" w:hanging="360"/>
      </w:pPr>
      <w:rPr>
        <w:rFonts w:hint="default"/>
      </w:rPr>
    </w:lvl>
    <w:lvl w:ilvl="1" w:tplc="91BEB31E">
      <w:start w:val="1"/>
      <w:numFmt w:val="lowerLetter"/>
      <w:lvlText w:val="%2)"/>
      <w:lvlJc w:val="left"/>
      <w:pPr>
        <w:ind w:left="1648" w:hanging="360"/>
      </w:pPr>
      <w:rPr>
        <w:rFonts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20" w15:restartNumberingAfterBreak="0">
    <w:nsid w:val="1C7560FA"/>
    <w:multiLevelType w:val="hybridMultilevel"/>
    <w:tmpl w:val="B1AEFCE2"/>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1" w15:restartNumberingAfterBreak="0">
    <w:nsid w:val="1D00397F"/>
    <w:multiLevelType w:val="hybridMultilevel"/>
    <w:tmpl w:val="0D8AC7A2"/>
    <w:lvl w:ilvl="0" w:tplc="23503C86">
      <w:start w:val="1"/>
      <w:numFmt w:val="decimal"/>
      <w:lvlText w:val="%1-"/>
      <w:lvlJc w:val="left"/>
      <w:pPr>
        <w:ind w:left="2062"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15:restartNumberingAfterBreak="0">
    <w:nsid w:val="1F9F3FDE"/>
    <w:multiLevelType w:val="multilevel"/>
    <w:tmpl w:val="C2F0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326C7D"/>
    <w:multiLevelType w:val="multilevel"/>
    <w:tmpl w:val="8CF0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9D7282"/>
    <w:multiLevelType w:val="multilevel"/>
    <w:tmpl w:val="6CFA3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8B75CE"/>
    <w:multiLevelType w:val="hybridMultilevel"/>
    <w:tmpl w:val="7A684E38"/>
    <w:lvl w:ilvl="0" w:tplc="04160001">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6" w15:restartNumberingAfterBreak="0">
    <w:nsid w:val="2A4264C8"/>
    <w:multiLevelType w:val="multilevel"/>
    <w:tmpl w:val="107C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F12459"/>
    <w:multiLevelType w:val="multilevel"/>
    <w:tmpl w:val="3778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D96539"/>
    <w:multiLevelType w:val="hybridMultilevel"/>
    <w:tmpl w:val="F8BC056A"/>
    <w:lvl w:ilvl="0" w:tplc="04160001">
      <w:start w:val="1"/>
      <w:numFmt w:val="bullet"/>
      <w:lvlText w:val=""/>
      <w:lvlJc w:val="left"/>
      <w:pPr>
        <w:ind w:left="620" w:hanging="360"/>
      </w:pPr>
      <w:rPr>
        <w:rFonts w:ascii="Symbol" w:hAnsi="Symbol" w:hint="default"/>
      </w:rPr>
    </w:lvl>
    <w:lvl w:ilvl="1" w:tplc="04160003" w:tentative="1">
      <w:start w:val="1"/>
      <w:numFmt w:val="bullet"/>
      <w:lvlText w:val="o"/>
      <w:lvlJc w:val="left"/>
      <w:pPr>
        <w:ind w:left="1340" w:hanging="360"/>
      </w:pPr>
      <w:rPr>
        <w:rFonts w:ascii="Courier New" w:hAnsi="Courier New" w:cs="Courier New" w:hint="default"/>
      </w:rPr>
    </w:lvl>
    <w:lvl w:ilvl="2" w:tplc="04160005" w:tentative="1">
      <w:start w:val="1"/>
      <w:numFmt w:val="bullet"/>
      <w:lvlText w:val=""/>
      <w:lvlJc w:val="left"/>
      <w:pPr>
        <w:ind w:left="2060" w:hanging="360"/>
      </w:pPr>
      <w:rPr>
        <w:rFonts w:ascii="Wingdings" w:hAnsi="Wingdings" w:hint="default"/>
      </w:rPr>
    </w:lvl>
    <w:lvl w:ilvl="3" w:tplc="04160001" w:tentative="1">
      <w:start w:val="1"/>
      <w:numFmt w:val="bullet"/>
      <w:lvlText w:val=""/>
      <w:lvlJc w:val="left"/>
      <w:pPr>
        <w:ind w:left="2780" w:hanging="360"/>
      </w:pPr>
      <w:rPr>
        <w:rFonts w:ascii="Symbol" w:hAnsi="Symbol" w:hint="default"/>
      </w:rPr>
    </w:lvl>
    <w:lvl w:ilvl="4" w:tplc="04160003" w:tentative="1">
      <w:start w:val="1"/>
      <w:numFmt w:val="bullet"/>
      <w:lvlText w:val="o"/>
      <w:lvlJc w:val="left"/>
      <w:pPr>
        <w:ind w:left="3500" w:hanging="360"/>
      </w:pPr>
      <w:rPr>
        <w:rFonts w:ascii="Courier New" w:hAnsi="Courier New" w:cs="Courier New" w:hint="default"/>
      </w:rPr>
    </w:lvl>
    <w:lvl w:ilvl="5" w:tplc="04160005" w:tentative="1">
      <w:start w:val="1"/>
      <w:numFmt w:val="bullet"/>
      <w:lvlText w:val=""/>
      <w:lvlJc w:val="left"/>
      <w:pPr>
        <w:ind w:left="4220" w:hanging="360"/>
      </w:pPr>
      <w:rPr>
        <w:rFonts w:ascii="Wingdings" w:hAnsi="Wingdings" w:hint="default"/>
      </w:rPr>
    </w:lvl>
    <w:lvl w:ilvl="6" w:tplc="04160001" w:tentative="1">
      <w:start w:val="1"/>
      <w:numFmt w:val="bullet"/>
      <w:lvlText w:val=""/>
      <w:lvlJc w:val="left"/>
      <w:pPr>
        <w:ind w:left="4940" w:hanging="360"/>
      </w:pPr>
      <w:rPr>
        <w:rFonts w:ascii="Symbol" w:hAnsi="Symbol" w:hint="default"/>
      </w:rPr>
    </w:lvl>
    <w:lvl w:ilvl="7" w:tplc="04160003" w:tentative="1">
      <w:start w:val="1"/>
      <w:numFmt w:val="bullet"/>
      <w:lvlText w:val="o"/>
      <w:lvlJc w:val="left"/>
      <w:pPr>
        <w:ind w:left="5660" w:hanging="360"/>
      </w:pPr>
      <w:rPr>
        <w:rFonts w:ascii="Courier New" w:hAnsi="Courier New" w:cs="Courier New" w:hint="default"/>
      </w:rPr>
    </w:lvl>
    <w:lvl w:ilvl="8" w:tplc="04160005" w:tentative="1">
      <w:start w:val="1"/>
      <w:numFmt w:val="bullet"/>
      <w:lvlText w:val=""/>
      <w:lvlJc w:val="left"/>
      <w:pPr>
        <w:ind w:left="6380" w:hanging="360"/>
      </w:pPr>
      <w:rPr>
        <w:rFonts w:ascii="Wingdings" w:hAnsi="Wingdings" w:hint="default"/>
      </w:rPr>
    </w:lvl>
  </w:abstractNum>
  <w:abstractNum w:abstractNumId="29" w15:restartNumberingAfterBreak="0">
    <w:nsid w:val="2F563DDA"/>
    <w:multiLevelType w:val="hybridMultilevel"/>
    <w:tmpl w:val="296A10DE"/>
    <w:lvl w:ilvl="0" w:tplc="23503C86">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15:restartNumberingAfterBreak="0">
    <w:nsid w:val="2F9D46EE"/>
    <w:multiLevelType w:val="multilevel"/>
    <w:tmpl w:val="214A9220"/>
    <w:lvl w:ilvl="0">
      <w:start w:val="1"/>
      <w:numFmt w:val="upperRoman"/>
      <w:lvlText w:val="%1."/>
      <w:lvlJc w:val="left"/>
      <w:pPr>
        <w:ind w:left="1080" w:hanging="720"/>
      </w:pPr>
      <w:rPr>
        <w:rFonts w:hint="default"/>
        <w:i w:val="0"/>
        <w:iCs/>
      </w:rPr>
    </w:lvl>
    <w:lvl w:ilvl="1">
      <w:start w:val="1"/>
      <w:numFmt w:val="decimal"/>
      <w:isLgl/>
      <w:lvlText w:val="%1.%2."/>
      <w:lvlJc w:val="left"/>
      <w:pPr>
        <w:ind w:left="787" w:hanging="42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1774CC0"/>
    <w:multiLevelType w:val="multilevel"/>
    <w:tmpl w:val="32D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840F2"/>
    <w:multiLevelType w:val="multilevel"/>
    <w:tmpl w:val="9778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E03844"/>
    <w:multiLevelType w:val="multilevel"/>
    <w:tmpl w:val="938C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D427DD"/>
    <w:multiLevelType w:val="hybridMultilevel"/>
    <w:tmpl w:val="263C56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BA26E22"/>
    <w:multiLevelType w:val="multilevel"/>
    <w:tmpl w:val="D152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F7303D"/>
    <w:multiLevelType w:val="hybridMultilevel"/>
    <w:tmpl w:val="94365DF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15:restartNumberingAfterBreak="0">
    <w:nsid w:val="45CD08AD"/>
    <w:multiLevelType w:val="multilevel"/>
    <w:tmpl w:val="1722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EE3E27"/>
    <w:multiLevelType w:val="hybridMultilevel"/>
    <w:tmpl w:val="434C4AD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02E4C2D"/>
    <w:multiLevelType w:val="multilevel"/>
    <w:tmpl w:val="53E2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D961CD"/>
    <w:multiLevelType w:val="multilevel"/>
    <w:tmpl w:val="6F34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241205"/>
    <w:multiLevelType w:val="multilevel"/>
    <w:tmpl w:val="15908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05240F"/>
    <w:multiLevelType w:val="hybridMultilevel"/>
    <w:tmpl w:val="C3121C5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3" w15:restartNumberingAfterBreak="0">
    <w:nsid w:val="5939264D"/>
    <w:multiLevelType w:val="hybridMultilevel"/>
    <w:tmpl w:val="33E8AFF6"/>
    <w:lvl w:ilvl="0" w:tplc="77462D5A">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15:restartNumberingAfterBreak="0">
    <w:nsid w:val="59F2525B"/>
    <w:multiLevelType w:val="multilevel"/>
    <w:tmpl w:val="7C9C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DE4A5C"/>
    <w:multiLevelType w:val="hybridMultilevel"/>
    <w:tmpl w:val="F60015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5CFC72E8"/>
    <w:multiLevelType w:val="hybridMultilevel"/>
    <w:tmpl w:val="075CC932"/>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47" w15:restartNumberingAfterBreak="0">
    <w:nsid w:val="5D1C55FC"/>
    <w:multiLevelType w:val="hybridMultilevel"/>
    <w:tmpl w:val="937C75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8" w15:restartNumberingAfterBreak="0">
    <w:nsid w:val="601548CD"/>
    <w:multiLevelType w:val="hybridMultilevel"/>
    <w:tmpl w:val="6EB45CF8"/>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9" w15:restartNumberingAfterBreak="0">
    <w:nsid w:val="66D7091D"/>
    <w:multiLevelType w:val="multilevel"/>
    <w:tmpl w:val="B30C5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447378"/>
    <w:multiLevelType w:val="hybridMultilevel"/>
    <w:tmpl w:val="06CAF0C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1" w15:restartNumberingAfterBreak="0">
    <w:nsid w:val="6A994589"/>
    <w:multiLevelType w:val="hybridMultilevel"/>
    <w:tmpl w:val="CFEC25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CAD7746"/>
    <w:multiLevelType w:val="multilevel"/>
    <w:tmpl w:val="FE2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7E4A1A"/>
    <w:multiLevelType w:val="multilevel"/>
    <w:tmpl w:val="FA182A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987CE0"/>
    <w:multiLevelType w:val="hybridMultilevel"/>
    <w:tmpl w:val="EEDA9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5" w15:restartNumberingAfterBreak="0">
    <w:nsid w:val="700000DA"/>
    <w:multiLevelType w:val="hybridMultilevel"/>
    <w:tmpl w:val="CF72D6F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6" w15:restartNumberingAfterBreak="0">
    <w:nsid w:val="71D41F87"/>
    <w:multiLevelType w:val="multilevel"/>
    <w:tmpl w:val="81F4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3A339D"/>
    <w:multiLevelType w:val="multilevel"/>
    <w:tmpl w:val="7A68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8174F5"/>
    <w:multiLevelType w:val="multilevel"/>
    <w:tmpl w:val="795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914A31"/>
    <w:multiLevelType w:val="multilevel"/>
    <w:tmpl w:val="E48206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CB34A5"/>
    <w:multiLevelType w:val="multilevel"/>
    <w:tmpl w:val="C69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010352"/>
    <w:multiLevelType w:val="multilevel"/>
    <w:tmpl w:val="2920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0D2130"/>
    <w:multiLevelType w:val="hybridMultilevel"/>
    <w:tmpl w:val="D742AF6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3" w15:restartNumberingAfterBreak="0">
    <w:nsid w:val="7D3B04BA"/>
    <w:multiLevelType w:val="multilevel"/>
    <w:tmpl w:val="19B2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2110E8"/>
    <w:multiLevelType w:val="hybridMultilevel"/>
    <w:tmpl w:val="75A47D16"/>
    <w:lvl w:ilvl="0" w:tplc="F2B48F42">
      <w:numFmt w:val="bullet"/>
      <w:lvlText w:val="•"/>
      <w:lvlJc w:val="left"/>
      <w:pPr>
        <w:ind w:left="1425" w:hanging="705"/>
      </w:pPr>
      <w:rPr>
        <w:rFonts w:ascii="Times New Roman" w:eastAsia="Times New Roman"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428889534">
    <w:abstractNumId w:val="58"/>
  </w:num>
  <w:num w:numId="2" w16cid:durableId="1429498199">
    <w:abstractNumId w:val="4"/>
  </w:num>
  <w:num w:numId="3" w16cid:durableId="642468080">
    <w:abstractNumId w:val="8"/>
  </w:num>
  <w:num w:numId="4" w16cid:durableId="622003055">
    <w:abstractNumId w:val="28"/>
  </w:num>
  <w:num w:numId="5" w16cid:durableId="904098541">
    <w:abstractNumId w:val="51"/>
  </w:num>
  <w:num w:numId="6" w16cid:durableId="361630353">
    <w:abstractNumId w:val="10"/>
  </w:num>
  <w:num w:numId="7" w16cid:durableId="1954704381">
    <w:abstractNumId w:val="54"/>
  </w:num>
  <w:num w:numId="8" w16cid:durableId="1776898608">
    <w:abstractNumId w:val="6"/>
  </w:num>
  <w:num w:numId="9" w16cid:durableId="1803843548">
    <w:abstractNumId w:val="60"/>
  </w:num>
  <w:num w:numId="10" w16cid:durableId="1861166780">
    <w:abstractNumId w:val="27"/>
  </w:num>
  <w:num w:numId="11" w16cid:durableId="1371030131">
    <w:abstractNumId w:val="22"/>
  </w:num>
  <w:num w:numId="12" w16cid:durableId="1964918745">
    <w:abstractNumId w:val="40"/>
  </w:num>
  <w:num w:numId="13" w16cid:durableId="7483914">
    <w:abstractNumId w:val="37"/>
  </w:num>
  <w:num w:numId="14" w16cid:durableId="2038968748">
    <w:abstractNumId w:val="53"/>
  </w:num>
  <w:num w:numId="15" w16cid:durableId="340202599">
    <w:abstractNumId w:val="32"/>
  </w:num>
  <w:num w:numId="16" w16cid:durableId="306398478">
    <w:abstractNumId w:val="2"/>
  </w:num>
  <w:num w:numId="17" w16cid:durableId="284119851">
    <w:abstractNumId w:val="63"/>
  </w:num>
  <w:num w:numId="18" w16cid:durableId="2019189378">
    <w:abstractNumId w:val="18"/>
  </w:num>
  <w:num w:numId="19" w16cid:durableId="1550724888">
    <w:abstractNumId w:val="64"/>
  </w:num>
  <w:num w:numId="20" w16cid:durableId="547452053">
    <w:abstractNumId w:val="1"/>
  </w:num>
  <w:num w:numId="21" w16cid:durableId="133645741">
    <w:abstractNumId w:val="16"/>
  </w:num>
  <w:num w:numId="22" w16cid:durableId="600376994">
    <w:abstractNumId w:val="9"/>
  </w:num>
  <w:num w:numId="23" w16cid:durableId="654454889">
    <w:abstractNumId w:val="7"/>
  </w:num>
  <w:num w:numId="24" w16cid:durableId="1127433480">
    <w:abstractNumId w:val="47"/>
  </w:num>
  <w:num w:numId="25" w16cid:durableId="1183857637">
    <w:abstractNumId w:val="36"/>
  </w:num>
  <w:num w:numId="26" w16cid:durableId="1431661764">
    <w:abstractNumId w:val="35"/>
  </w:num>
  <w:num w:numId="27" w16cid:durableId="1261447404">
    <w:abstractNumId w:val="15"/>
  </w:num>
  <w:num w:numId="28" w16cid:durableId="1534923190">
    <w:abstractNumId w:val="3"/>
  </w:num>
  <w:num w:numId="29" w16cid:durableId="1719814586">
    <w:abstractNumId w:val="23"/>
  </w:num>
  <w:num w:numId="30" w16cid:durableId="165555423">
    <w:abstractNumId w:val="61"/>
  </w:num>
  <w:num w:numId="31" w16cid:durableId="115804864">
    <w:abstractNumId w:val="0"/>
  </w:num>
  <w:num w:numId="32" w16cid:durableId="5863281">
    <w:abstractNumId w:val="25"/>
  </w:num>
  <w:num w:numId="33" w16cid:durableId="456721825">
    <w:abstractNumId w:val="62"/>
  </w:num>
  <w:num w:numId="34" w16cid:durableId="924918865">
    <w:abstractNumId w:val="20"/>
  </w:num>
  <w:num w:numId="35" w16cid:durableId="1862426198">
    <w:abstractNumId w:val="45"/>
  </w:num>
  <w:num w:numId="36" w16cid:durableId="2039819528">
    <w:abstractNumId w:val="50"/>
  </w:num>
  <w:num w:numId="37" w16cid:durableId="194970039">
    <w:abstractNumId w:val="34"/>
  </w:num>
  <w:num w:numId="38" w16cid:durableId="934022895">
    <w:abstractNumId w:val="19"/>
  </w:num>
  <w:num w:numId="39" w16cid:durableId="895974777">
    <w:abstractNumId w:val="48"/>
  </w:num>
  <w:num w:numId="40" w16cid:durableId="1851525545">
    <w:abstractNumId w:val="43"/>
  </w:num>
  <w:num w:numId="41" w16cid:durableId="1028603499">
    <w:abstractNumId w:val="5"/>
  </w:num>
  <w:num w:numId="42" w16cid:durableId="1086803453">
    <w:abstractNumId w:val="39"/>
  </w:num>
  <w:num w:numId="43" w16cid:durableId="540627024">
    <w:abstractNumId w:val="52"/>
  </w:num>
  <w:num w:numId="44" w16cid:durableId="1882550905">
    <w:abstractNumId w:val="33"/>
  </w:num>
  <w:num w:numId="45" w16cid:durableId="2044790349">
    <w:abstractNumId w:val="31"/>
  </w:num>
  <w:num w:numId="46" w16cid:durableId="1362045857">
    <w:abstractNumId w:val="44"/>
  </w:num>
  <w:num w:numId="47" w16cid:durableId="270480574">
    <w:abstractNumId w:val="17"/>
  </w:num>
  <w:num w:numId="48" w16cid:durableId="2073384019">
    <w:abstractNumId w:val="11"/>
  </w:num>
  <w:num w:numId="49" w16cid:durableId="864635288">
    <w:abstractNumId w:val="26"/>
  </w:num>
  <w:num w:numId="50" w16cid:durableId="455484414">
    <w:abstractNumId w:val="13"/>
  </w:num>
  <w:num w:numId="51" w16cid:durableId="725646201">
    <w:abstractNumId w:val="29"/>
  </w:num>
  <w:num w:numId="52" w16cid:durableId="2012444653">
    <w:abstractNumId w:val="21"/>
  </w:num>
  <w:num w:numId="53" w16cid:durableId="812142296">
    <w:abstractNumId w:val="55"/>
  </w:num>
  <w:num w:numId="54" w16cid:durableId="1655987348">
    <w:abstractNumId w:val="12"/>
  </w:num>
  <w:num w:numId="55" w16cid:durableId="758792099">
    <w:abstractNumId w:val="24"/>
  </w:num>
  <w:num w:numId="56" w16cid:durableId="372313880">
    <w:abstractNumId w:val="49"/>
  </w:num>
  <w:num w:numId="57" w16cid:durableId="299001550">
    <w:abstractNumId w:val="57"/>
  </w:num>
  <w:num w:numId="58" w16cid:durableId="470757370">
    <w:abstractNumId w:val="41"/>
  </w:num>
  <w:num w:numId="59" w16cid:durableId="1440491961">
    <w:abstractNumId w:val="56"/>
  </w:num>
  <w:num w:numId="60" w16cid:durableId="646712268">
    <w:abstractNumId w:val="38"/>
  </w:num>
  <w:num w:numId="61" w16cid:durableId="104228459">
    <w:abstractNumId w:val="59"/>
  </w:num>
  <w:num w:numId="62" w16cid:durableId="139737815">
    <w:abstractNumId w:val="30"/>
  </w:num>
  <w:num w:numId="63" w16cid:durableId="1797676163">
    <w:abstractNumId w:val="14"/>
  </w:num>
  <w:num w:numId="64" w16cid:durableId="426583844">
    <w:abstractNumId w:val="42"/>
  </w:num>
  <w:num w:numId="65" w16cid:durableId="535531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78"/>
    <w:rsid w:val="00000061"/>
    <w:rsid w:val="00000C82"/>
    <w:rsid w:val="00001567"/>
    <w:rsid w:val="00001762"/>
    <w:rsid w:val="00001908"/>
    <w:rsid w:val="00001A25"/>
    <w:rsid w:val="00001F2E"/>
    <w:rsid w:val="00002446"/>
    <w:rsid w:val="00002504"/>
    <w:rsid w:val="00002A44"/>
    <w:rsid w:val="00002E7E"/>
    <w:rsid w:val="00003150"/>
    <w:rsid w:val="000038DD"/>
    <w:rsid w:val="00004353"/>
    <w:rsid w:val="00004880"/>
    <w:rsid w:val="000049C3"/>
    <w:rsid w:val="00004D3B"/>
    <w:rsid w:val="00005104"/>
    <w:rsid w:val="000056D6"/>
    <w:rsid w:val="00005854"/>
    <w:rsid w:val="00005BC5"/>
    <w:rsid w:val="00006C58"/>
    <w:rsid w:val="000070B5"/>
    <w:rsid w:val="000070FF"/>
    <w:rsid w:val="00007172"/>
    <w:rsid w:val="000079EE"/>
    <w:rsid w:val="00007E36"/>
    <w:rsid w:val="00007F00"/>
    <w:rsid w:val="00010879"/>
    <w:rsid w:val="00010967"/>
    <w:rsid w:val="00010975"/>
    <w:rsid w:val="00010A1F"/>
    <w:rsid w:val="00010E69"/>
    <w:rsid w:val="0001122E"/>
    <w:rsid w:val="000118C5"/>
    <w:rsid w:val="00011DE2"/>
    <w:rsid w:val="000135F5"/>
    <w:rsid w:val="000137E7"/>
    <w:rsid w:val="000148ED"/>
    <w:rsid w:val="00015004"/>
    <w:rsid w:val="00015324"/>
    <w:rsid w:val="000156AA"/>
    <w:rsid w:val="000157AF"/>
    <w:rsid w:val="00015EBA"/>
    <w:rsid w:val="00015EF8"/>
    <w:rsid w:val="00016BF7"/>
    <w:rsid w:val="00017376"/>
    <w:rsid w:val="000173B6"/>
    <w:rsid w:val="000175C5"/>
    <w:rsid w:val="00017815"/>
    <w:rsid w:val="00020141"/>
    <w:rsid w:val="000207BF"/>
    <w:rsid w:val="0002147C"/>
    <w:rsid w:val="000215DB"/>
    <w:rsid w:val="00022583"/>
    <w:rsid w:val="000233E7"/>
    <w:rsid w:val="00023ED9"/>
    <w:rsid w:val="00025EF7"/>
    <w:rsid w:val="00025FD9"/>
    <w:rsid w:val="000265FB"/>
    <w:rsid w:val="00026A19"/>
    <w:rsid w:val="00027579"/>
    <w:rsid w:val="00030041"/>
    <w:rsid w:val="000301A2"/>
    <w:rsid w:val="000306B0"/>
    <w:rsid w:val="00030789"/>
    <w:rsid w:val="00030B31"/>
    <w:rsid w:val="00030BA6"/>
    <w:rsid w:val="00030FC2"/>
    <w:rsid w:val="00031276"/>
    <w:rsid w:val="00031E71"/>
    <w:rsid w:val="000322FF"/>
    <w:rsid w:val="000329F0"/>
    <w:rsid w:val="00032B4E"/>
    <w:rsid w:val="00032D4F"/>
    <w:rsid w:val="00033007"/>
    <w:rsid w:val="0003353C"/>
    <w:rsid w:val="000335D0"/>
    <w:rsid w:val="00033A1C"/>
    <w:rsid w:val="00033FA9"/>
    <w:rsid w:val="00034505"/>
    <w:rsid w:val="00036676"/>
    <w:rsid w:val="0003688C"/>
    <w:rsid w:val="00036A21"/>
    <w:rsid w:val="00036A2E"/>
    <w:rsid w:val="00036E63"/>
    <w:rsid w:val="00036F6C"/>
    <w:rsid w:val="00037776"/>
    <w:rsid w:val="0003786E"/>
    <w:rsid w:val="000379BF"/>
    <w:rsid w:val="00040941"/>
    <w:rsid w:val="00040AEE"/>
    <w:rsid w:val="00042514"/>
    <w:rsid w:val="00042696"/>
    <w:rsid w:val="000428A6"/>
    <w:rsid w:val="0004372C"/>
    <w:rsid w:val="00043E6E"/>
    <w:rsid w:val="00044267"/>
    <w:rsid w:val="00044C58"/>
    <w:rsid w:val="000451B7"/>
    <w:rsid w:val="00045411"/>
    <w:rsid w:val="000454CB"/>
    <w:rsid w:val="000455D9"/>
    <w:rsid w:val="0004579D"/>
    <w:rsid w:val="00045B73"/>
    <w:rsid w:val="00046025"/>
    <w:rsid w:val="00046295"/>
    <w:rsid w:val="00046552"/>
    <w:rsid w:val="000467C3"/>
    <w:rsid w:val="00046C61"/>
    <w:rsid w:val="00046D73"/>
    <w:rsid w:val="00046DEA"/>
    <w:rsid w:val="0004733F"/>
    <w:rsid w:val="00047AF6"/>
    <w:rsid w:val="00051456"/>
    <w:rsid w:val="00052004"/>
    <w:rsid w:val="000520D8"/>
    <w:rsid w:val="000524C0"/>
    <w:rsid w:val="000525F3"/>
    <w:rsid w:val="00052933"/>
    <w:rsid w:val="00052CE8"/>
    <w:rsid w:val="00054772"/>
    <w:rsid w:val="00054987"/>
    <w:rsid w:val="00055FBD"/>
    <w:rsid w:val="000560F8"/>
    <w:rsid w:val="00056194"/>
    <w:rsid w:val="00056986"/>
    <w:rsid w:val="00057C45"/>
    <w:rsid w:val="00057F23"/>
    <w:rsid w:val="0006050E"/>
    <w:rsid w:val="00060F57"/>
    <w:rsid w:val="00060FD3"/>
    <w:rsid w:val="0006154E"/>
    <w:rsid w:val="0006233B"/>
    <w:rsid w:val="000624C3"/>
    <w:rsid w:val="000630C1"/>
    <w:rsid w:val="000631F9"/>
    <w:rsid w:val="00063447"/>
    <w:rsid w:val="000635F7"/>
    <w:rsid w:val="00063603"/>
    <w:rsid w:val="00063C6F"/>
    <w:rsid w:val="00064758"/>
    <w:rsid w:val="00064937"/>
    <w:rsid w:val="0006585B"/>
    <w:rsid w:val="00065E45"/>
    <w:rsid w:val="00066D70"/>
    <w:rsid w:val="00067ABB"/>
    <w:rsid w:val="00070075"/>
    <w:rsid w:val="000702E5"/>
    <w:rsid w:val="00070A25"/>
    <w:rsid w:val="000729DE"/>
    <w:rsid w:val="00072E7E"/>
    <w:rsid w:val="000732A2"/>
    <w:rsid w:val="00073935"/>
    <w:rsid w:val="00074068"/>
    <w:rsid w:val="00074710"/>
    <w:rsid w:val="00074BA3"/>
    <w:rsid w:val="0007504C"/>
    <w:rsid w:val="00075782"/>
    <w:rsid w:val="000759DE"/>
    <w:rsid w:val="00075F19"/>
    <w:rsid w:val="00076D1A"/>
    <w:rsid w:val="00076E24"/>
    <w:rsid w:val="000774E1"/>
    <w:rsid w:val="000775A8"/>
    <w:rsid w:val="000779E9"/>
    <w:rsid w:val="00077A3A"/>
    <w:rsid w:val="00077C6B"/>
    <w:rsid w:val="0008088B"/>
    <w:rsid w:val="00080AD0"/>
    <w:rsid w:val="00080E3C"/>
    <w:rsid w:val="00081185"/>
    <w:rsid w:val="00081474"/>
    <w:rsid w:val="000818D3"/>
    <w:rsid w:val="000822FE"/>
    <w:rsid w:val="000824FE"/>
    <w:rsid w:val="000835E5"/>
    <w:rsid w:val="00084CC1"/>
    <w:rsid w:val="000853D6"/>
    <w:rsid w:val="00086309"/>
    <w:rsid w:val="00086A8D"/>
    <w:rsid w:val="00087C2C"/>
    <w:rsid w:val="000902FA"/>
    <w:rsid w:val="000903DB"/>
    <w:rsid w:val="0009072C"/>
    <w:rsid w:val="00092589"/>
    <w:rsid w:val="0009269F"/>
    <w:rsid w:val="000926C2"/>
    <w:rsid w:val="00092D52"/>
    <w:rsid w:val="00093206"/>
    <w:rsid w:val="0009351B"/>
    <w:rsid w:val="00093BC9"/>
    <w:rsid w:val="0009418E"/>
    <w:rsid w:val="00094305"/>
    <w:rsid w:val="0009466F"/>
    <w:rsid w:val="000948BA"/>
    <w:rsid w:val="000952F3"/>
    <w:rsid w:val="000952F5"/>
    <w:rsid w:val="000953E2"/>
    <w:rsid w:val="00095D16"/>
    <w:rsid w:val="000963ED"/>
    <w:rsid w:val="000964DB"/>
    <w:rsid w:val="00096581"/>
    <w:rsid w:val="00096A9F"/>
    <w:rsid w:val="00096B3B"/>
    <w:rsid w:val="00096E58"/>
    <w:rsid w:val="00096E7D"/>
    <w:rsid w:val="00097085"/>
    <w:rsid w:val="000976E0"/>
    <w:rsid w:val="000A0127"/>
    <w:rsid w:val="000A0138"/>
    <w:rsid w:val="000A03FA"/>
    <w:rsid w:val="000A0E8E"/>
    <w:rsid w:val="000A0F13"/>
    <w:rsid w:val="000A0FA7"/>
    <w:rsid w:val="000A100F"/>
    <w:rsid w:val="000A1D04"/>
    <w:rsid w:val="000A1EB0"/>
    <w:rsid w:val="000A2C80"/>
    <w:rsid w:val="000A2FC3"/>
    <w:rsid w:val="000A35AE"/>
    <w:rsid w:val="000A38A1"/>
    <w:rsid w:val="000A3A6A"/>
    <w:rsid w:val="000A40CF"/>
    <w:rsid w:val="000A4507"/>
    <w:rsid w:val="000A4677"/>
    <w:rsid w:val="000A52A5"/>
    <w:rsid w:val="000A56BF"/>
    <w:rsid w:val="000A5A65"/>
    <w:rsid w:val="000A5D13"/>
    <w:rsid w:val="000A6A21"/>
    <w:rsid w:val="000A6A9F"/>
    <w:rsid w:val="000A7415"/>
    <w:rsid w:val="000A74D8"/>
    <w:rsid w:val="000A7ABD"/>
    <w:rsid w:val="000B04AA"/>
    <w:rsid w:val="000B09CF"/>
    <w:rsid w:val="000B0CB7"/>
    <w:rsid w:val="000B0EFA"/>
    <w:rsid w:val="000B0FAE"/>
    <w:rsid w:val="000B0FC6"/>
    <w:rsid w:val="000B1463"/>
    <w:rsid w:val="000B2AF5"/>
    <w:rsid w:val="000B3363"/>
    <w:rsid w:val="000B42F5"/>
    <w:rsid w:val="000B471C"/>
    <w:rsid w:val="000B4D8A"/>
    <w:rsid w:val="000B5323"/>
    <w:rsid w:val="000B5617"/>
    <w:rsid w:val="000B5E6E"/>
    <w:rsid w:val="000B6857"/>
    <w:rsid w:val="000B6DE4"/>
    <w:rsid w:val="000B7344"/>
    <w:rsid w:val="000B749E"/>
    <w:rsid w:val="000B75CB"/>
    <w:rsid w:val="000B7FAB"/>
    <w:rsid w:val="000C008E"/>
    <w:rsid w:val="000C12E8"/>
    <w:rsid w:val="000C25D4"/>
    <w:rsid w:val="000C3A31"/>
    <w:rsid w:val="000C52C8"/>
    <w:rsid w:val="000C53DE"/>
    <w:rsid w:val="000C547A"/>
    <w:rsid w:val="000C5C1C"/>
    <w:rsid w:val="000C623A"/>
    <w:rsid w:val="000C6F8E"/>
    <w:rsid w:val="000C76E6"/>
    <w:rsid w:val="000C7B4A"/>
    <w:rsid w:val="000C7C52"/>
    <w:rsid w:val="000C7E95"/>
    <w:rsid w:val="000C7FD9"/>
    <w:rsid w:val="000D0390"/>
    <w:rsid w:val="000D051A"/>
    <w:rsid w:val="000D11DE"/>
    <w:rsid w:val="000D15EF"/>
    <w:rsid w:val="000D1902"/>
    <w:rsid w:val="000D1B02"/>
    <w:rsid w:val="000D1E64"/>
    <w:rsid w:val="000D1F77"/>
    <w:rsid w:val="000D2F85"/>
    <w:rsid w:val="000D3178"/>
    <w:rsid w:val="000D32B4"/>
    <w:rsid w:val="000D4251"/>
    <w:rsid w:val="000D61FA"/>
    <w:rsid w:val="000D6732"/>
    <w:rsid w:val="000D6CCB"/>
    <w:rsid w:val="000D7884"/>
    <w:rsid w:val="000D7D02"/>
    <w:rsid w:val="000D7E30"/>
    <w:rsid w:val="000E0AA9"/>
    <w:rsid w:val="000E127B"/>
    <w:rsid w:val="000E1E23"/>
    <w:rsid w:val="000E23B9"/>
    <w:rsid w:val="000E2712"/>
    <w:rsid w:val="000E3364"/>
    <w:rsid w:val="000E3410"/>
    <w:rsid w:val="000E412D"/>
    <w:rsid w:val="000E464B"/>
    <w:rsid w:val="000E47B8"/>
    <w:rsid w:val="000E4B66"/>
    <w:rsid w:val="000E537C"/>
    <w:rsid w:val="000E5635"/>
    <w:rsid w:val="000E66D5"/>
    <w:rsid w:val="000E7362"/>
    <w:rsid w:val="000E739B"/>
    <w:rsid w:val="000F09BB"/>
    <w:rsid w:val="000F09FD"/>
    <w:rsid w:val="000F1369"/>
    <w:rsid w:val="000F18FC"/>
    <w:rsid w:val="000F25ED"/>
    <w:rsid w:val="000F2B35"/>
    <w:rsid w:val="000F2BEC"/>
    <w:rsid w:val="000F30D8"/>
    <w:rsid w:val="000F3366"/>
    <w:rsid w:val="000F4032"/>
    <w:rsid w:val="000F41D9"/>
    <w:rsid w:val="000F4817"/>
    <w:rsid w:val="000F48CE"/>
    <w:rsid w:val="000F55B4"/>
    <w:rsid w:val="000F56C2"/>
    <w:rsid w:val="000F72BC"/>
    <w:rsid w:val="00100787"/>
    <w:rsid w:val="001008E7"/>
    <w:rsid w:val="001012DC"/>
    <w:rsid w:val="00101341"/>
    <w:rsid w:val="001016DC"/>
    <w:rsid w:val="0010170F"/>
    <w:rsid w:val="00102A17"/>
    <w:rsid w:val="00102AC8"/>
    <w:rsid w:val="00102DAC"/>
    <w:rsid w:val="00103A90"/>
    <w:rsid w:val="00103D0A"/>
    <w:rsid w:val="00103D20"/>
    <w:rsid w:val="00104F2B"/>
    <w:rsid w:val="0010548D"/>
    <w:rsid w:val="001057BF"/>
    <w:rsid w:val="001063C8"/>
    <w:rsid w:val="0010641D"/>
    <w:rsid w:val="00106BF8"/>
    <w:rsid w:val="00106DE4"/>
    <w:rsid w:val="00106E96"/>
    <w:rsid w:val="001075F4"/>
    <w:rsid w:val="00107E81"/>
    <w:rsid w:val="0011091E"/>
    <w:rsid w:val="00110F3F"/>
    <w:rsid w:val="001112A8"/>
    <w:rsid w:val="00111AE2"/>
    <w:rsid w:val="00111BAB"/>
    <w:rsid w:val="00112905"/>
    <w:rsid w:val="00112C75"/>
    <w:rsid w:val="001133F0"/>
    <w:rsid w:val="001146EF"/>
    <w:rsid w:val="0011489B"/>
    <w:rsid w:val="001148D0"/>
    <w:rsid w:val="00115156"/>
    <w:rsid w:val="001155D2"/>
    <w:rsid w:val="00115819"/>
    <w:rsid w:val="0011693E"/>
    <w:rsid w:val="00116F65"/>
    <w:rsid w:val="001171C6"/>
    <w:rsid w:val="001206F0"/>
    <w:rsid w:val="00121CE6"/>
    <w:rsid w:val="00121F8F"/>
    <w:rsid w:val="001225D8"/>
    <w:rsid w:val="001228D4"/>
    <w:rsid w:val="001235A0"/>
    <w:rsid w:val="00123608"/>
    <w:rsid w:val="001243EC"/>
    <w:rsid w:val="001243FB"/>
    <w:rsid w:val="00124C95"/>
    <w:rsid w:val="001257BC"/>
    <w:rsid w:val="00125C38"/>
    <w:rsid w:val="00126500"/>
    <w:rsid w:val="00127D4F"/>
    <w:rsid w:val="0013016C"/>
    <w:rsid w:val="001303B8"/>
    <w:rsid w:val="00130B87"/>
    <w:rsid w:val="00130D24"/>
    <w:rsid w:val="00131AF6"/>
    <w:rsid w:val="00131F54"/>
    <w:rsid w:val="001326DA"/>
    <w:rsid w:val="00132AF6"/>
    <w:rsid w:val="00133200"/>
    <w:rsid w:val="00133319"/>
    <w:rsid w:val="001333A9"/>
    <w:rsid w:val="00133B3F"/>
    <w:rsid w:val="00133F2B"/>
    <w:rsid w:val="0013472F"/>
    <w:rsid w:val="001347ED"/>
    <w:rsid w:val="001355C5"/>
    <w:rsid w:val="0013665B"/>
    <w:rsid w:val="00136E0F"/>
    <w:rsid w:val="00136EE2"/>
    <w:rsid w:val="00136FB6"/>
    <w:rsid w:val="0013711C"/>
    <w:rsid w:val="001371E1"/>
    <w:rsid w:val="001375EF"/>
    <w:rsid w:val="00137976"/>
    <w:rsid w:val="0014032D"/>
    <w:rsid w:val="001407D2"/>
    <w:rsid w:val="00140FB0"/>
    <w:rsid w:val="00141D06"/>
    <w:rsid w:val="001426C7"/>
    <w:rsid w:val="0014397C"/>
    <w:rsid w:val="00143B3C"/>
    <w:rsid w:val="00144704"/>
    <w:rsid w:val="001449A9"/>
    <w:rsid w:val="00145029"/>
    <w:rsid w:val="00145471"/>
    <w:rsid w:val="00145639"/>
    <w:rsid w:val="00145AA8"/>
    <w:rsid w:val="00145B46"/>
    <w:rsid w:val="00146B2E"/>
    <w:rsid w:val="00147205"/>
    <w:rsid w:val="00147846"/>
    <w:rsid w:val="00147A42"/>
    <w:rsid w:val="00150279"/>
    <w:rsid w:val="00150397"/>
    <w:rsid w:val="00150A0B"/>
    <w:rsid w:val="00150EE2"/>
    <w:rsid w:val="00151095"/>
    <w:rsid w:val="00153626"/>
    <w:rsid w:val="00153A07"/>
    <w:rsid w:val="00153D8E"/>
    <w:rsid w:val="001544A6"/>
    <w:rsid w:val="00154844"/>
    <w:rsid w:val="00154DFA"/>
    <w:rsid w:val="0015510D"/>
    <w:rsid w:val="00156645"/>
    <w:rsid w:val="001569A7"/>
    <w:rsid w:val="001570E1"/>
    <w:rsid w:val="00157852"/>
    <w:rsid w:val="001579D3"/>
    <w:rsid w:val="0016018E"/>
    <w:rsid w:val="00160CF6"/>
    <w:rsid w:val="00160E7A"/>
    <w:rsid w:val="001616A6"/>
    <w:rsid w:val="00162CBB"/>
    <w:rsid w:val="0016316B"/>
    <w:rsid w:val="00164259"/>
    <w:rsid w:val="00164DD4"/>
    <w:rsid w:val="0016570C"/>
    <w:rsid w:val="001659B5"/>
    <w:rsid w:val="00165A7F"/>
    <w:rsid w:val="00166808"/>
    <w:rsid w:val="00166A03"/>
    <w:rsid w:val="001678D7"/>
    <w:rsid w:val="00167A12"/>
    <w:rsid w:val="00167A37"/>
    <w:rsid w:val="00167F1D"/>
    <w:rsid w:val="00167F80"/>
    <w:rsid w:val="0017028C"/>
    <w:rsid w:val="00170A52"/>
    <w:rsid w:val="001710E0"/>
    <w:rsid w:val="0017117F"/>
    <w:rsid w:val="0017152C"/>
    <w:rsid w:val="00171564"/>
    <w:rsid w:val="001716FF"/>
    <w:rsid w:val="00171C42"/>
    <w:rsid w:val="00171F00"/>
    <w:rsid w:val="00172017"/>
    <w:rsid w:val="00172051"/>
    <w:rsid w:val="0017229A"/>
    <w:rsid w:val="00172EE6"/>
    <w:rsid w:val="00172F15"/>
    <w:rsid w:val="00173CD6"/>
    <w:rsid w:val="00173D0D"/>
    <w:rsid w:val="001747E2"/>
    <w:rsid w:val="001748BA"/>
    <w:rsid w:val="00175F81"/>
    <w:rsid w:val="00176478"/>
    <w:rsid w:val="0017659A"/>
    <w:rsid w:val="001765CE"/>
    <w:rsid w:val="00176EEA"/>
    <w:rsid w:val="00177BA4"/>
    <w:rsid w:val="00180779"/>
    <w:rsid w:val="001807D4"/>
    <w:rsid w:val="001809A8"/>
    <w:rsid w:val="00180F93"/>
    <w:rsid w:val="001822E6"/>
    <w:rsid w:val="0018247A"/>
    <w:rsid w:val="00182B89"/>
    <w:rsid w:val="00183007"/>
    <w:rsid w:val="0018303F"/>
    <w:rsid w:val="001830AF"/>
    <w:rsid w:val="0018345D"/>
    <w:rsid w:val="001835DD"/>
    <w:rsid w:val="00183BF5"/>
    <w:rsid w:val="00183D85"/>
    <w:rsid w:val="00184278"/>
    <w:rsid w:val="001844A5"/>
    <w:rsid w:val="00184BDD"/>
    <w:rsid w:val="00184DE1"/>
    <w:rsid w:val="00184FFE"/>
    <w:rsid w:val="0018534D"/>
    <w:rsid w:val="00185447"/>
    <w:rsid w:val="00186F89"/>
    <w:rsid w:val="00187008"/>
    <w:rsid w:val="001870E8"/>
    <w:rsid w:val="001872FB"/>
    <w:rsid w:val="00187501"/>
    <w:rsid w:val="00187B09"/>
    <w:rsid w:val="00187C64"/>
    <w:rsid w:val="00187C9A"/>
    <w:rsid w:val="00187F35"/>
    <w:rsid w:val="00190043"/>
    <w:rsid w:val="00190E90"/>
    <w:rsid w:val="00191127"/>
    <w:rsid w:val="0019131B"/>
    <w:rsid w:val="00193429"/>
    <w:rsid w:val="00193A2D"/>
    <w:rsid w:val="00193DB8"/>
    <w:rsid w:val="001946D2"/>
    <w:rsid w:val="00194739"/>
    <w:rsid w:val="0019489C"/>
    <w:rsid w:val="00195436"/>
    <w:rsid w:val="001959E0"/>
    <w:rsid w:val="00196347"/>
    <w:rsid w:val="00196B79"/>
    <w:rsid w:val="0019717E"/>
    <w:rsid w:val="00197D9F"/>
    <w:rsid w:val="001A041E"/>
    <w:rsid w:val="001A0859"/>
    <w:rsid w:val="001A1513"/>
    <w:rsid w:val="001A2E17"/>
    <w:rsid w:val="001A3232"/>
    <w:rsid w:val="001A5313"/>
    <w:rsid w:val="001A6CF8"/>
    <w:rsid w:val="001A6DC1"/>
    <w:rsid w:val="001A71B3"/>
    <w:rsid w:val="001A73F0"/>
    <w:rsid w:val="001A7808"/>
    <w:rsid w:val="001A7FE1"/>
    <w:rsid w:val="001B0380"/>
    <w:rsid w:val="001B097D"/>
    <w:rsid w:val="001B0F75"/>
    <w:rsid w:val="001B1190"/>
    <w:rsid w:val="001B158D"/>
    <w:rsid w:val="001B19EB"/>
    <w:rsid w:val="001B1C77"/>
    <w:rsid w:val="001B2083"/>
    <w:rsid w:val="001B21B6"/>
    <w:rsid w:val="001B2386"/>
    <w:rsid w:val="001B23FC"/>
    <w:rsid w:val="001B275E"/>
    <w:rsid w:val="001B2F50"/>
    <w:rsid w:val="001B300A"/>
    <w:rsid w:val="001B32A1"/>
    <w:rsid w:val="001B36BA"/>
    <w:rsid w:val="001B4C73"/>
    <w:rsid w:val="001B57BF"/>
    <w:rsid w:val="001B60EA"/>
    <w:rsid w:val="001B6558"/>
    <w:rsid w:val="001B6785"/>
    <w:rsid w:val="001B6A1B"/>
    <w:rsid w:val="001B7D31"/>
    <w:rsid w:val="001C0355"/>
    <w:rsid w:val="001C090A"/>
    <w:rsid w:val="001C1039"/>
    <w:rsid w:val="001C11C3"/>
    <w:rsid w:val="001C11CB"/>
    <w:rsid w:val="001C170C"/>
    <w:rsid w:val="001C182D"/>
    <w:rsid w:val="001C2257"/>
    <w:rsid w:val="001C2BF6"/>
    <w:rsid w:val="001C2CB4"/>
    <w:rsid w:val="001C3B28"/>
    <w:rsid w:val="001C3C47"/>
    <w:rsid w:val="001C3CA7"/>
    <w:rsid w:val="001C4039"/>
    <w:rsid w:val="001C419E"/>
    <w:rsid w:val="001C4663"/>
    <w:rsid w:val="001C4932"/>
    <w:rsid w:val="001C4D35"/>
    <w:rsid w:val="001C50F5"/>
    <w:rsid w:val="001C5262"/>
    <w:rsid w:val="001C54D5"/>
    <w:rsid w:val="001C56D6"/>
    <w:rsid w:val="001C5A50"/>
    <w:rsid w:val="001C6009"/>
    <w:rsid w:val="001C67D3"/>
    <w:rsid w:val="001C6DEB"/>
    <w:rsid w:val="001C6F57"/>
    <w:rsid w:val="001C7AD5"/>
    <w:rsid w:val="001C7E2F"/>
    <w:rsid w:val="001D0776"/>
    <w:rsid w:val="001D0957"/>
    <w:rsid w:val="001D14A9"/>
    <w:rsid w:val="001D1CBD"/>
    <w:rsid w:val="001D27C5"/>
    <w:rsid w:val="001D3C90"/>
    <w:rsid w:val="001D58FC"/>
    <w:rsid w:val="001D590A"/>
    <w:rsid w:val="001D592A"/>
    <w:rsid w:val="001D5943"/>
    <w:rsid w:val="001D5A22"/>
    <w:rsid w:val="001D687B"/>
    <w:rsid w:val="001D69D1"/>
    <w:rsid w:val="001D6B26"/>
    <w:rsid w:val="001D6C99"/>
    <w:rsid w:val="001D6F33"/>
    <w:rsid w:val="001D74E2"/>
    <w:rsid w:val="001D77D4"/>
    <w:rsid w:val="001E0553"/>
    <w:rsid w:val="001E0A69"/>
    <w:rsid w:val="001E0E87"/>
    <w:rsid w:val="001E0EB2"/>
    <w:rsid w:val="001E0FD3"/>
    <w:rsid w:val="001E12BC"/>
    <w:rsid w:val="001E1D65"/>
    <w:rsid w:val="001E2B90"/>
    <w:rsid w:val="001E3288"/>
    <w:rsid w:val="001E3443"/>
    <w:rsid w:val="001E6364"/>
    <w:rsid w:val="001E6D54"/>
    <w:rsid w:val="001E72FC"/>
    <w:rsid w:val="001E74F9"/>
    <w:rsid w:val="001E7D1C"/>
    <w:rsid w:val="001F006E"/>
    <w:rsid w:val="001F060E"/>
    <w:rsid w:val="001F0801"/>
    <w:rsid w:val="001F0AD8"/>
    <w:rsid w:val="001F0B82"/>
    <w:rsid w:val="001F14F9"/>
    <w:rsid w:val="001F1A88"/>
    <w:rsid w:val="001F1F2E"/>
    <w:rsid w:val="001F1FE0"/>
    <w:rsid w:val="001F22DC"/>
    <w:rsid w:val="001F2381"/>
    <w:rsid w:val="001F2898"/>
    <w:rsid w:val="001F2C1B"/>
    <w:rsid w:val="001F3140"/>
    <w:rsid w:val="001F3ECC"/>
    <w:rsid w:val="001F47BB"/>
    <w:rsid w:val="001F5727"/>
    <w:rsid w:val="001F57F6"/>
    <w:rsid w:val="001F5BB7"/>
    <w:rsid w:val="001F5E67"/>
    <w:rsid w:val="001F60D5"/>
    <w:rsid w:val="001F6311"/>
    <w:rsid w:val="001F6774"/>
    <w:rsid w:val="001F6B00"/>
    <w:rsid w:val="001F6C74"/>
    <w:rsid w:val="001F71A0"/>
    <w:rsid w:val="001F77C3"/>
    <w:rsid w:val="001F7A0C"/>
    <w:rsid w:val="001F7C1E"/>
    <w:rsid w:val="001F7E53"/>
    <w:rsid w:val="0020078C"/>
    <w:rsid w:val="00200A2F"/>
    <w:rsid w:val="00200F67"/>
    <w:rsid w:val="0020169C"/>
    <w:rsid w:val="002032E8"/>
    <w:rsid w:val="002032ED"/>
    <w:rsid w:val="002033F7"/>
    <w:rsid w:val="002038C7"/>
    <w:rsid w:val="00203C4B"/>
    <w:rsid w:val="00203C85"/>
    <w:rsid w:val="00204342"/>
    <w:rsid w:val="00204A61"/>
    <w:rsid w:val="00205127"/>
    <w:rsid w:val="002051C1"/>
    <w:rsid w:val="00205498"/>
    <w:rsid w:val="00205980"/>
    <w:rsid w:val="00205E48"/>
    <w:rsid w:val="002065CE"/>
    <w:rsid w:val="0020673E"/>
    <w:rsid w:val="002070A7"/>
    <w:rsid w:val="002072DE"/>
    <w:rsid w:val="00210990"/>
    <w:rsid w:val="002128EB"/>
    <w:rsid w:val="002129BF"/>
    <w:rsid w:val="00212F4F"/>
    <w:rsid w:val="00213F41"/>
    <w:rsid w:val="0021400B"/>
    <w:rsid w:val="00214B1F"/>
    <w:rsid w:val="002151A2"/>
    <w:rsid w:val="002152F9"/>
    <w:rsid w:val="00215333"/>
    <w:rsid w:val="00215B4A"/>
    <w:rsid w:val="002160F6"/>
    <w:rsid w:val="002161F4"/>
    <w:rsid w:val="00216239"/>
    <w:rsid w:val="002167CB"/>
    <w:rsid w:val="00216A35"/>
    <w:rsid w:val="00216BB1"/>
    <w:rsid w:val="002170DE"/>
    <w:rsid w:val="00217192"/>
    <w:rsid w:val="0021740C"/>
    <w:rsid w:val="00217D28"/>
    <w:rsid w:val="00217E87"/>
    <w:rsid w:val="0022023B"/>
    <w:rsid w:val="00220606"/>
    <w:rsid w:val="00220893"/>
    <w:rsid w:val="00221225"/>
    <w:rsid w:val="00221245"/>
    <w:rsid w:val="0022168B"/>
    <w:rsid w:val="002217A5"/>
    <w:rsid w:val="00221ABF"/>
    <w:rsid w:val="00221D1E"/>
    <w:rsid w:val="00221EA9"/>
    <w:rsid w:val="00221FA0"/>
    <w:rsid w:val="002221AF"/>
    <w:rsid w:val="0022263C"/>
    <w:rsid w:val="002230FC"/>
    <w:rsid w:val="002235DF"/>
    <w:rsid w:val="002246C2"/>
    <w:rsid w:val="00224E2E"/>
    <w:rsid w:val="00224E8C"/>
    <w:rsid w:val="0022541F"/>
    <w:rsid w:val="002258B5"/>
    <w:rsid w:val="002263A8"/>
    <w:rsid w:val="00226BDE"/>
    <w:rsid w:val="00231144"/>
    <w:rsid w:val="002311B2"/>
    <w:rsid w:val="002318E8"/>
    <w:rsid w:val="00231C2E"/>
    <w:rsid w:val="002322B8"/>
    <w:rsid w:val="00233015"/>
    <w:rsid w:val="002339D7"/>
    <w:rsid w:val="00233F02"/>
    <w:rsid w:val="00233F9F"/>
    <w:rsid w:val="00234736"/>
    <w:rsid w:val="00235107"/>
    <w:rsid w:val="00235A34"/>
    <w:rsid w:val="00236FEC"/>
    <w:rsid w:val="0023773D"/>
    <w:rsid w:val="00240E40"/>
    <w:rsid w:val="00241099"/>
    <w:rsid w:val="00241274"/>
    <w:rsid w:val="002421D7"/>
    <w:rsid w:val="002424F4"/>
    <w:rsid w:val="00242B11"/>
    <w:rsid w:val="00242CCF"/>
    <w:rsid w:val="00243D78"/>
    <w:rsid w:val="00244545"/>
    <w:rsid w:val="002458BF"/>
    <w:rsid w:val="002459E0"/>
    <w:rsid w:val="0024651E"/>
    <w:rsid w:val="0024658C"/>
    <w:rsid w:val="002469CD"/>
    <w:rsid w:val="00247380"/>
    <w:rsid w:val="00247544"/>
    <w:rsid w:val="002477A3"/>
    <w:rsid w:val="002501CF"/>
    <w:rsid w:val="002508D7"/>
    <w:rsid w:val="0025133B"/>
    <w:rsid w:val="002513FE"/>
    <w:rsid w:val="002515CB"/>
    <w:rsid w:val="00251BF5"/>
    <w:rsid w:val="00251C33"/>
    <w:rsid w:val="00251C74"/>
    <w:rsid w:val="00251DCF"/>
    <w:rsid w:val="0025239E"/>
    <w:rsid w:val="002524C2"/>
    <w:rsid w:val="00252DF7"/>
    <w:rsid w:val="00253AA3"/>
    <w:rsid w:val="002546E4"/>
    <w:rsid w:val="002546F4"/>
    <w:rsid w:val="0025494D"/>
    <w:rsid w:val="002563DB"/>
    <w:rsid w:val="00257124"/>
    <w:rsid w:val="00257A10"/>
    <w:rsid w:val="00257B6B"/>
    <w:rsid w:val="002632D5"/>
    <w:rsid w:val="00263714"/>
    <w:rsid w:val="0026375B"/>
    <w:rsid w:val="002637D4"/>
    <w:rsid w:val="00263873"/>
    <w:rsid w:val="00263B62"/>
    <w:rsid w:val="00263FD0"/>
    <w:rsid w:val="0026423C"/>
    <w:rsid w:val="002649ED"/>
    <w:rsid w:val="00264BBC"/>
    <w:rsid w:val="00264FF4"/>
    <w:rsid w:val="0026563A"/>
    <w:rsid w:val="00265F61"/>
    <w:rsid w:val="00267BA2"/>
    <w:rsid w:val="00267C37"/>
    <w:rsid w:val="00267D1D"/>
    <w:rsid w:val="002706CE"/>
    <w:rsid w:val="00270A34"/>
    <w:rsid w:val="00270B7A"/>
    <w:rsid w:val="00270EDA"/>
    <w:rsid w:val="00270EF6"/>
    <w:rsid w:val="0027101E"/>
    <w:rsid w:val="0027132C"/>
    <w:rsid w:val="0027184F"/>
    <w:rsid w:val="0027199E"/>
    <w:rsid w:val="002723AC"/>
    <w:rsid w:val="002734B4"/>
    <w:rsid w:val="00274009"/>
    <w:rsid w:val="00274C7D"/>
    <w:rsid w:val="00275306"/>
    <w:rsid w:val="0027598B"/>
    <w:rsid w:val="00276108"/>
    <w:rsid w:val="0027623D"/>
    <w:rsid w:val="002762FB"/>
    <w:rsid w:val="0027635D"/>
    <w:rsid w:val="00276AEE"/>
    <w:rsid w:val="00280037"/>
    <w:rsid w:val="002800F2"/>
    <w:rsid w:val="002801A2"/>
    <w:rsid w:val="00280D6A"/>
    <w:rsid w:val="00280FEE"/>
    <w:rsid w:val="002812BA"/>
    <w:rsid w:val="002818A0"/>
    <w:rsid w:val="00281C17"/>
    <w:rsid w:val="00281D6A"/>
    <w:rsid w:val="00282365"/>
    <w:rsid w:val="00282D62"/>
    <w:rsid w:val="00282E18"/>
    <w:rsid w:val="0028325E"/>
    <w:rsid w:val="00283C89"/>
    <w:rsid w:val="00283E49"/>
    <w:rsid w:val="00283EDE"/>
    <w:rsid w:val="002844BE"/>
    <w:rsid w:val="0028579B"/>
    <w:rsid w:val="00285EEC"/>
    <w:rsid w:val="00286181"/>
    <w:rsid w:val="0028652F"/>
    <w:rsid w:val="0028683D"/>
    <w:rsid w:val="00286EB2"/>
    <w:rsid w:val="00287016"/>
    <w:rsid w:val="00287B81"/>
    <w:rsid w:val="002900B7"/>
    <w:rsid w:val="002909CF"/>
    <w:rsid w:val="002911F6"/>
    <w:rsid w:val="00291288"/>
    <w:rsid w:val="00293D74"/>
    <w:rsid w:val="002940C4"/>
    <w:rsid w:val="002947D1"/>
    <w:rsid w:val="00294D57"/>
    <w:rsid w:val="002951D2"/>
    <w:rsid w:val="00295C2E"/>
    <w:rsid w:val="00295F83"/>
    <w:rsid w:val="00296278"/>
    <w:rsid w:val="002963C7"/>
    <w:rsid w:val="0029650C"/>
    <w:rsid w:val="00296C23"/>
    <w:rsid w:val="00296F3F"/>
    <w:rsid w:val="002A0230"/>
    <w:rsid w:val="002A097D"/>
    <w:rsid w:val="002A09EB"/>
    <w:rsid w:val="002A12DE"/>
    <w:rsid w:val="002A184F"/>
    <w:rsid w:val="002A1D1D"/>
    <w:rsid w:val="002A1E10"/>
    <w:rsid w:val="002A1EE7"/>
    <w:rsid w:val="002A1EEC"/>
    <w:rsid w:val="002A28E6"/>
    <w:rsid w:val="002A2FBB"/>
    <w:rsid w:val="002A3620"/>
    <w:rsid w:val="002A389B"/>
    <w:rsid w:val="002A3C5A"/>
    <w:rsid w:val="002A4AA2"/>
    <w:rsid w:val="002A53CD"/>
    <w:rsid w:val="002A6E2A"/>
    <w:rsid w:val="002B03D7"/>
    <w:rsid w:val="002B06B6"/>
    <w:rsid w:val="002B0DAE"/>
    <w:rsid w:val="002B0F9A"/>
    <w:rsid w:val="002B170C"/>
    <w:rsid w:val="002B181B"/>
    <w:rsid w:val="002B1B0B"/>
    <w:rsid w:val="002B200F"/>
    <w:rsid w:val="002B24FF"/>
    <w:rsid w:val="002B2C0E"/>
    <w:rsid w:val="002B2DA6"/>
    <w:rsid w:val="002B3004"/>
    <w:rsid w:val="002B37B3"/>
    <w:rsid w:val="002B37C8"/>
    <w:rsid w:val="002B3BE4"/>
    <w:rsid w:val="002B4063"/>
    <w:rsid w:val="002B4163"/>
    <w:rsid w:val="002B44BD"/>
    <w:rsid w:val="002B4827"/>
    <w:rsid w:val="002B4C45"/>
    <w:rsid w:val="002B4E02"/>
    <w:rsid w:val="002B5501"/>
    <w:rsid w:val="002B5B65"/>
    <w:rsid w:val="002B65B9"/>
    <w:rsid w:val="002B71F6"/>
    <w:rsid w:val="002B75B8"/>
    <w:rsid w:val="002B7745"/>
    <w:rsid w:val="002B7C57"/>
    <w:rsid w:val="002B7CAB"/>
    <w:rsid w:val="002B7D09"/>
    <w:rsid w:val="002B7F86"/>
    <w:rsid w:val="002C0A63"/>
    <w:rsid w:val="002C0C3D"/>
    <w:rsid w:val="002C0CD0"/>
    <w:rsid w:val="002C10C0"/>
    <w:rsid w:val="002C1373"/>
    <w:rsid w:val="002C157D"/>
    <w:rsid w:val="002C2302"/>
    <w:rsid w:val="002C2E16"/>
    <w:rsid w:val="002C32B2"/>
    <w:rsid w:val="002C350A"/>
    <w:rsid w:val="002C3B2D"/>
    <w:rsid w:val="002C3F4F"/>
    <w:rsid w:val="002C43FD"/>
    <w:rsid w:val="002C49C0"/>
    <w:rsid w:val="002C5086"/>
    <w:rsid w:val="002C519A"/>
    <w:rsid w:val="002C53E9"/>
    <w:rsid w:val="002C578A"/>
    <w:rsid w:val="002C5B82"/>
    <w:rsid w:val="002C5EEA"/>
    <w:rsid w:val="002C6658"/>
    <w:rsid w:val="002C730E"/>
    <w:rsid w:val="002C780D"/>
    <w:rsid w:val="002C7985"/>
    <w:rsid w:val="002D0129"/>
    <w:rsid w:val="002D024C"/>
    <w:rsid w:val="002D0DAE"/>
    <w:rsid w:val="002D1432"/>
    <w:rsid w:val="002D2D33"/>
    <w:rsid w:val="002D2E86"/>
    <w:rsid w:val="002D3945"/>
    <w:rsid w:val="002D4700"/>
    <w:rsid w:val="002D489E"/>
    <w:rsid w:val="002D4A07"/>
    <w:rsid w:val="002D5ABA"/>
    <w:rsid w:val="002D62EE"/>
    <w:rsid w:val="002D68C9"/>
    <w:rsid w:val="002D6E77"/>
    <w:rsid w:val="002D7093"/>
    <w:rsid w:val="002D71CA"/>
    <w:rsid w:val="002E053F"/>
    <w:rsid w:val="002E0AAB"/>
    <w:rsid w:val="002E0C0F"/>
    <w:rsid w:val="002E1161"/>
    <w:rsid w:val="002E1BDE"/>
    <w:rsid w:val="002E1F00"/>
    <w:rsid w:val="002E2506"/>
    <w:rsid w:val="002E2B24"/>
    <w:rsid w:val="002E307B"/>
    <w:rsid w:val="002E33C7"/>
    <w:rsid w:val="002E368F"/>
    <w:rsid w:val="002E3963"/>
    <w:rsid w:val="002E5D34"/>
    <w:rsid w:val="002E6C4B"/>
    <w:rsid w:val="002E6D15"/>
    <w:rsid w:val="002E7763"/>
    <w:rsid w:val="002E7DDF"/>
    <w:rsid w:val="002F0E10"/>
    <w:rsid w:val="002F17FA"/>
    <w:rsid w:val="002F1CE0"/>
    <w:rsid w:val="002F2296"/>
    <w:rsid w:val="002F2A10"/>
    <w:rsid w:val="002F2CA2"/>
    <w:rsid w:val="002F2CCF"/>
    <w:rsid w:val="002F2CDA"/>
    <w:rsid w:val="002F30E6"/>
    <w:rsid w:val="002F3F05"/>
    <w:rsid w:val="002F40F9"/>
    <w:rsid w:val="002F430B"/>
    <w:rsid w:val="002F4494"/>
    <w:rsid w:val="002F4810"/>
    <w:rsid w:val="002F4F8C"/>
    <w:rsid w:val="002F6330"/>
    <w:rsid w:val="002F6BE6"/>
    <w:rsid w:val="002F6FC9"/>
    <w:rsid w:val="002F72BD"/>
    <w:rsid w:val="002F74D9"/>
    <w:rsid w:val="002F79C5"/>
    <w:rsid w:val="002F7C65"/>
    <w:rsid w:val="0030023F"/>
    <w:rsid w:val="003003EB"/>
    <w:rsid w:val="00300491"/>
    <w:rsid w:val="00300F07"/>
    <w:rsid w:val="00301612"/>
    <w:rsid w:val="0030238F"/>
    <w:rsid w:val="00303F41"/>
    <w:rsid w:val="00303F90"/>
    <w:rsid w:val="00304046"/>
    <w:rsid w:val="00304306"/>
    <w:rsid w:val="0030462A"/>
    <w:rsid w:val="003046FF"/>
    <w:rsid w:val="00304704"/>
    <w:rsid w:val="00305CDD"/>
    <w:rsid w:val="00306019"/>
    <w:rsid w:val="0030643A"/>
    <w:rsid w:val="00307E60"/>
    <w:rsid w:val="00310248"/>
    <w:rsid w:val="00310F8C"/>
    <w:rsid w:val="00311260"/>
    <w:rsid w:val="00311551"/>
    <w:rsid w:val="00311EB3"/>
    <w:rsid w:val="0031336B"/>
    <w:rsid w:val="00313C54"/>
    <w:rsid w:val="00313D8E"/>
    <w:rsid w:val="00313D96"/>
    <w:rsid w:val="0031430A"/>
    <w:rsid w:val="003144F7"/>
    <w:rsid w:val="00314FE4"/>
    <w:rsid w:val="00314FE6"/>
    <w:rsid w:val="00315638"/>
    <w:rsid w:val="00315907"/>
    <w:rsid w:val="00316146"/>
    <w:rsid w:val="00316921"/>
    <w:rsid w:val="00316E9C"/>
    <w:rsid w:val="00316F12"/>
    <w:rsid w:val="00317618"/>
    <w:rsid w:val="003204DB"/>
    <w:rsid w:val="0032050D"/>
    <w:rsid w:val="00321167"/>
    <w:rsid w:val="003215E2"/>
    <w:rsid w:val="003218B6"/>
    <w:rsid w:val="003219B0"/>
    <w:rsid w:val="00321BD7"/>
    <w:rsid w:val="00321C91"/>
    <w:rsid w:val="00321C95"/>
    <w:rsid w:val="0032220F"/>
    <w:rsid w:val="00322354"/>
    <w:rsid w:val="00322485"/>
    <w:rsid w:val="0032430F"/>
    <w:rsid w:val="00325037"/>
    <w:rsid w:val="003254CB"/>
    <w:rsid w:val="0032577B"/>
    <w:rsid w:val="00325CB9"/>
    <w:rsid w:val="0032626B"/>
    <w:rsid w:val="00326351"/>
    <w:rsid w:val="00326386"/>
    <w:rsid w:val="0032675B"/>
    <w:rsid w:val="00326B1F"/>
    <w:rsid w:val="00326EE4"/>
    <w:rsid w:val="00326FAB"/>
    <w:rsid w:val="003270F4"/>
    <w:rsid w:val="003275FE"/>
    <w:rsid w:val="00327711"/>
    <w:rsid w:val="003279D5"/>
    <w:rsid w:val="00330B8E"/>
    <w:rsid w:val="003310BE"/>
    <w:rsid w:val="0033125A"/>
    <w:rsid w:val="00331329"/>
    <w:rsid w:val="00331947"/>
    <w:rsid w:val="00331EA4"/>
    <w:rsid w:val="00332361"/>
    <w:rsid w:val="0033245B"/>
    <w:rsid w:val="00332A28"/>
    <w:rsid w:val="00332D71"/>
    <w:rsid w:val="00332F77"/>
    <w:rsid w:val="00332FE3"/>
    <w:rsid w:val="00333147"/>
    <w:rsid w:val="00333BC0"/>
    <w:rsid w:val="00334170"/>
    <w:rsid w:val="00336620"/>
    <w:rsid w:val="003366F7"/>
    <w:rsid w:val="00340A21"/>
    <w:rsid w:val="00340CF2"/>
    <w:rsid w:val="003423B2"/>
    <w:rsid w:val="00342B5B"/>
    <w:rsid w:val="00343C6F"/>
    <w:rsid w:val="0034481E"/>
    <w:rsid w:val="00344A7C"/>
    <w:rsid w:val="00345668"/>
    <w:rsid w:val="0034599E"/>
    <w:rsid w:val="003459C9"/>
    <w:rsid w:val="00345C82"/>
    <w:rsid w:val="0034611B"/>
    <w:rsid w:val="003462CA"/>
    <w:rsid w:val="003468DD"/>
    <w:rsid w:val="00346A10"/>
    <w:rsid w:val="00346A1C"/>
    <w:rsid w:val="003473CB"/>
    <w:rsid w:val="003473CC"/>
    <w:rsid w:val="00350372"/>
    <w:rsid w:val="00350ABB"/>
    <w:rsid w:val="00350F4C"/>
    <w:rsid w:val="00351E35"/>
    <w:rsid w:val="00351E80"/>
    <w:rsid w:val="00351EB1"/>
    <w:rsid w:val="00351F81"/>
    <w:rsid w:val="00351FE2"/>
    <w:rsid w:val="00351FE5"/>
    <w:rsid w:val="003523FB"/>
    <w:rsid w:val="00352966"/>
    <w:rsid w:val="00353A59"/>
    <w:rsid w:val="003540C4"/>
    <w:rsid w:val="00354BAD"/>
    <w:rsid w:val="003555AF"/>
    <w:rsid w:val="0035580E"/>
    <w:rsid w:val="00355CE6"/>
    <w:rsid w:val="003560E6"/>
    <w:rsid w:val="003560F3"/>
    <w:rsid w:val="00356A23"/>
    <w:rsid w:val="00356C01"/>
    <w:rsid w:val="00357215"/>
    <w:rsid w:val="00357AC4"/>
    <w:rsid w:val="00360C7E"/>
    <w:rsid w:val="00361370"/>
    <w:rsid w:val="00361EFA"/>
    <w:rsid w:val="00362164"/>
    <w:rsid w:val="003623F0"/>
    <w:rsid w:val="00362650"/>
    <w:rsid w:val="0036276F"/>
    <w:rsid w:val="00362B7A"/>
    <w:rsid w:val="00363A24"/>
    <w:rsid w:val="00363D36"/>
    <w:rsid w:val="00364335"/>
    <w:rsid w:val="00364A37"/>
    <w:rsid w:val="00364A8D"/>
    <w:rsid w:val="00365AD2"/>
    <w:rsid w:val="00365E00"/>
    <w:rsid w:val="00366243"/>
    <w:rsid w:val="00366307"/>
    <w:rsid w:val="0036631F"/>
    <w:rsid w:val="00366365"/>
    <w:rsid w:val="00366439"/>
    <w:rsid w:val="003668C1"/>
    <w:rsid w:val="00367693"/>
    <w:rsid w:val="00367DB8"/>
    <w:rsid w:val="0037039C"/>
    <w:rsid w:val="0037187F"/>
    <w:rsid w:val="003718E0"/>
    <w:rsid w:val="00371EDE"/>
    <w:rsid w:val="00372740"/>
    <w:rsid w:val="00372E6F"/>
    <w:rsid w:val="00374271"/>
    <w:rsid w:val="0037454E"/>
    <w:rsid w:val="00374A68"/>
    <w:rsid w:val="003756D0"/>
    <w:rsid w:val="00375724"/>
    <w:rsid w:val="00375D26"/>
    <w:rsid w:val="00375FED"/>
    <w:rsid w:val="003763FC"/>
    <w:rsid w:val="00376A80"/>
    <w:rsid w:val="00376D83"/>
    <w:rsid w:val="00377210"/>
    <w:rsid w:val="00377B9A"/>
    <w:rsid w:val="00377EA6"/>
    <w:rsid w:val="003805CA"/>
    <w:rsid w:val="00380CF9"/>
    <w:rsid w:val="00381048"/>
    <w:rsid w:val="00381365"/>
    <w:rsid w:val="00381702"/>
    <w:rsid w:val="003819BA"/>
    <w:rsid w:val="00383EDF"/>
    <w:rsid w:val="00384154"/>
    <w:rsid w:val="003845A0"/>
    <w:rsid w:val="0038460E"/>
    <w:rsid w:val="00384823"/>
    <w:rsid w:val="00384C3A"/>
    <w:rsid w:val="00385305"/>
    <w:rsid w:val="003858AF"/>
    <w:rsid w:val="0038656B"/>
    <w:rsid w:val="00386C8A"/>
    <w:rsid w:val="00387CA2"/>
    <w:rsid w:val="00390238"/>
    <w:rsid w:val="00390321"/>
    <w:rsid w:val="0039076E"/>
    <w:rsid w:val="00390C7C"/>
    <w:rsid w:val="0039134B"/>
    <w:rsid w:val="003915D2"/>
    <w:rsid w:val="003917A3"/>
    <w:rsid w:val="00391B43"/>
    <w:rsid w:val="0039214B"/>
    <w:rsid w:val="003923C0"/>
    <w:rsid w:val="00392408"/>
    <w:rsid w:val="003931F2"/>
    <w:rsid w:val="003933EA"/>
    <w:rsid w:val="00393583"/>
    <w:rsid w:val="003938FD"/>
    <w:rsid w:val="00393967"/>
    <w:rsid w:val="003940A4"/>
    <w:rsid w:val="00394777"/>
    <w:rsid w:val="0039482C"/>
    <w:rsid w:val="003953CF"/>
    <w:rsid w:val="003955C5"/>
    <w:rsid w:val="00395703"/>
    <w:rsid w:val="0039593D"/>
    <w:rsid w:val="00395CDB"/>
    <w:rsid w:val="003962F0"/>
    <w:rsid w:val="00396475"/>
    <w:rsid w:val="00396804"/>
    <w:rsid w:val="00396984"/>
    <w:rsid w:val="00396E31"/>
    <w:rsid w:val="00397164"/>
    <w:rsid w:val="003978A9"/>
    <w:rsid w:val="003978E3"/>
    <w:rsid w:val="003979D4"/>
    <w:rsid w:val="00397CF8"/>
    <w:rsid w:val="003A0128"/>
    <w:rsid w:val="003A0356"/>
    <w:rsid w:val="003A03BB"/>
    <w:rsid w:val="003A0866"/>
    <w:rsid w:val="003A15F1"/>
    <w:rsid w:val="003A1864"/>
    <w:rsid w:val="003A2798"/>
    <w:rsid w:val="003A27CE"/>
    <w:rsid w:val="003A2BDE"/>
    <w:rsid w:val="003A32A2"/>
    <w:rsid w:val="003A40DA"/>
    <w:rsid w:val="003A4F4F"/>
    <w:rsid w:val="003A627E"/>
    <w:rsid w:val="003A629D"/>
    <w:rsid w:val="003A670A"/>
    <w:rsid w:val="003A677F"/>
    <w:rsid w:val="003A6B7B"/>
    <w:rsid w:val="003A7030"/>
    <w:rsid w:val="003A71E3"/>
    <w:rsid w:val="003A734D"/>
    <w:rsid w:val="003B00EE"/>
    <w:rsid w:val="003B0D40"/>
    <w:rsid w:val="003B0DA4"/>
    <w:rsid w:val="003B1A55"/>
    <w:rsid w:val="003B21CC"/>
    <w:rsid w:val="003B299A"/>
    <w:rsid w:val="003B2A2A"/>
    <w:rsid w:val="003B2DB7"/>
    <w:rsid w:val="003B4B27"/>
    <w:rsid w:val="003B4E85"/>
    <w:rsid w:val="003B5123"/>
    <w:rsid w:val="003B5259"/>
    <w:rsid w:val="003B6AC3"/>
    <w:rsid w:val="003B6CE3"/>
    <w:rsid w:val="003B6F7E"/>
    <w:rsid w:val="003B7392"/>
    <w:rsid w:val="003B7698"/>
    <w:rsid w:val="003B799C"/>
    <w:rsid w:val="003C0137"/>
    <w:rsid w:val="003C1348"/>
    <w:rsid w:val="003C13E8"/>
    <w:rsid w:val="003C14A7"/>
    <w:rsid w:val="003C16B5"/>
    <w:rsid w:val="003C1F04"/>
    <w:rsid w:val="003C26FA"/>
    <w:rsid w:val="003C27AE"/>
    <w:rsid w:val="003C27C3"/>
    <w:rsid w:val="003C2D07"/>
    <w:rsid w:val="003C3986"/>
    <w:rsid w:val="003C3987"/>
    <w:rsid w:val="003C3A26"/>
    <w:rsid w:val="003C3C39"/>
    <w:rsid w:val="003C40A5"/>
    <w:rsid w:val="003C40B8"/>
    <w:rsid w:val="003C4168"/>
    <w:rsid w:val="003C424E"/>
    <w:rsid w:val="003C51E3"/>
    <w:rsid w:val="003C51FB"/>
    <w:rsid w:val="003C5491"/>
    <w:rsid w:val="003C5811"/>
    <w:rsid w:val="003C6289"/>
    <w:rsid w:val="003C7220"/>
    <w:rsid w:val="003C7BE0"/>
    <w:rsid w:val="003C7C5E"/>
    <w:rsid w:val="003C7E26"/>
    <w:rsid w:val="003D01E7"/>
    <w:rsid w:val="003D10EC"/>
    <w:rsid w:val="003D1BC7"/>
    <w:rsid w:val="003D2378"/>
    <w:rsid w:val="003D26B9"/>
    <w:rsid w:val="003D2864"/>
    <w:rsid w:val="003D2CF2"/>
    <w:rsid w:val="003D31EE"/>
    <w:rsid w:val="003D31FC"/>
    <w:rsid w:val="003D36C3"/>
    <w:rsid w:val="003D3DE9"/>
    <w:rsid w:val="003D4066"/>
    <w:rsid w:val="003D48EE"/>
    <w:rsid w:val="003D4A03"/>
    <w:rsid w:val="003D4C89"/>
    <w:rsid w:val="003D5141"/>
    <w:rsid w:val="003D62A5"/>
    <w:rsid w:val="003D697A"/>
    <w:rsid w:val="003D6D4E"/>
    <w:rsid w:val="003D6E15"/>
    <w:rsid w:val="003D70F5"/>
    <w:rsid w:val="003D7CA3"/>
    <w:rsid w:val="003D7D62"/>
    <w:rsid w:val="003E07F1"/>
    <w:rsid w:val="003E0FCC"/>
    <w:rsid w:val="003E18D8"/>
    <w:rsid w:val="003E219A"/>
    <w:rsid w:val="003E238E"/>
    <w:rsid w:val="003E25E2"/>
    <w:rsid w:val="003E2980"/>
    <w:rsid w:val="003E3420"/>
    <w:rsid w:val="003E37C0"/>
    <w:rsid w:val="003E39FB"/>
    <w:rsid w:val="003E4A13"/>
    <w:rsid w:val="003E4AEE"/>
    <w:rsid w:val="003E4B8E"/>
    <w:rsid w:val="003E4D7C"/>
    <w:rsid w:val="003E5024"/>
    <w:rsid w:val="003E5092"/>
    <w:rsid w:val="003E58C0"/>
    <w:rsid w:val="003E61A0"/>
    <w:rsid w:val="003E643C"/>
    <w:rsid w:val="003E65EF"/>
    <w:rsid w:val="003E6AE3"/>
    <w:rsid w:val="003E7A05"/>
    <w:rsid w:val="003E7E55"/>
    <w:rsid w:val="003E7EB4"/>
    <w:rsid w:val="003F0377"/>
    <w:rsid w:val="003F0524"/>
    <w:rsid w:val="003F05BB"/>
    <w:rsid w:val="003F0627"/>
    <w:rsid w:val="003F066C"/>
    <w:rsid w:val="003F0C08"/>
    <w:rsid w:val="003F119C"/>
    <w:rsid w:val="003F259B"/>
    <w:rsid w:val="003F267F"/>
    <w:rsid w:val="003F27A6"/>
    <w:rsid w:val="003F2829"/>
    <w:rsid w:val="003F2B1E"/>
    <w:rsid w:val="003F305D"/>
    <w:rsid w:val="003F39F7"/>
    <w:rsid w:val="003F3B02"/>
    <w:rsid w:val="003F4855"/>
    <w:rsid w:val="003F48C3"/>
    <w:rsid w:val="003F4DA1"/>
    <w:rsid w:val="003F4F21"/>
    <w:rsid w:val="003F5316"/>
    <w:rsid w:val="003F5E74"/>
    <w:rsid w:val="003F631E"/>
    <w:rsid w:val="003F635A"/>
    <w:rsid w:val="003F64DA"/>
    <w:rsid w:val="003F6C7F"/>
    <w:rsid w:val="003F773C"/>
    <w:rsid w:val="00400E19"/>
    <w:rsid w:val="00400F07"/>
    <w:rsid w:val="00401578"/>
    <w:rsid w:val="00401CB6"/>
    <w:rsid w:val="00401EE8"/>
    <w:rsid w:val="004023E5"/>
    <w:rsid w:val="00402653"/>
    <w:rsid w:val="00402BDA"/>
    <w:rsid w:val="004035D1"/>
    <w:rsid w:val="00403722"/>
    <w:rsid w:val="00405815"/>
    <w:rsid w:val="004058DC"/>
    <w:rsid w:val="004062BC"/>
    <w:rsid w:val="0040635F"/>
    <w:rsid w:val="00406447"/>
    <w:rsid w:val="00406572"/>
    <w:rsid w:val="00406878"/>
    <w:rsid w:val="00406C08"/>
    <w:rsid w:val="00406D9D"/>
    <w:rsid w:val="00407437"/>
    <w:rsid w:val="00407639"/>
    <w:rsid w:val="00407DAD"/>
    <w:rsid w:val="004101CF"/>
    <w:rsid w:val="00410A05"/>
    <w:rsid w:val="004128CA"/>
    <w:rsid w:val="00412BF9"/>
    <w:rsid w:val="00413756"/>
    <w:rsid w:val="00413F67"/>
    <w:rsid w:val="00415307"/>
    <w:rsid w:val="00415619"/>
    <w:rsid w:val="00415785"/>
    <w:rsid w:val="00416297"/>
    <w:rsid w:val="00416446"/>
    <w:rsid w:val="00416A9F"/>
    <w:rsid w:val="00416D85"/>
    <w:rsid w:val="004171B2"/>
    <w:rsid w:val="0041785C"/>
    <w:rsid w:val="004200B4"/>
    <w:rsid w:val="00420C8A"/>
    <w:rsid w:val="0042112F"/>
    <w:rsid w:val="00421ED7"/>
    <w:rsid w:val="00422336"/>
    <w:rsid w:val="00422683"/>
    <w:rsid w:val="00422A37"/>
    <w:rsid w:val="0042316B"/>
    <w:rsid w:val="004234A9"/>
    <w:rsid w:val="00423717"/>
    <w:rsid w:val="00423CF8"/>
    <w:rsid w:val="0042422E"/>
    <w:rsid w:val="004242E0"/>
    <w:rsid w:val="004245CE"/>
    <w:rsid w:val="004246DD"/>
    <w:rsid w:val="00424F5D"/>
    <w:rsid w:val="004253ED"/>
    <w:rsid w:val="00425682"/>
    <w:rsid w:val="00425B00"/>
    <w:rsid w:val="00426376"/>
    <w:rsid w:val="00427243"/>
    <w:rsid w:val="00430B34"/>
    <w:rsid w:val="0043183A"/>
    <w:rsid w:val="00431B7C"/>
    <w:rsid w:val="00432050"/>
    <w:rsid w:val="00432295"/>
    <w:rsid w:val="00432425"/>
    <w:rsid w:val="00432F38"/>
    <w:rsid w:val="004337AC"/>
    <w:rsid w:val="00433EFA"/>
    <w:rsid w:val="00434BFD"/>
    <w:rsid w:val="00434D35"/>
    <w:rsid w:val="00435BF3"/>
    <w:rsid w:val="00435D8D"/>
    <w:rsid w:val="00435F6C"/>
    <w:rsid w:val="0043643F"/>
    <w:rsid w:val="00436E39"/>
    <w:rsid w:val="00437CC1"/>
    <w:rsid w:val="00437D8F"/>
    <w:rsid w:val="00440FB5"/>
    <w:rsid w:val="0044106B"/>
    <w:rsid w:val="00441117"/>
    <w:rsid w:val="004411A1"/>
    <w:rsid w:val="004413C9"/>
    <w:rsid w:val="004424E0"/>
    <w:rsid w:val="00442D6D"/>
    <w:rsid w:val="00442E85"/>
    <w:rsid w:val="004443BF"/>
    <w:rsid w:val="00446613"/>
    <w:rsid w:val="00447690"/>
    <w:rsid w:val="00447694"/>
    <w:rsid w:val="0045016E"/>
    <w:rsid w:val="00450363"/>
    <w:rsid w:val="00450528"/>
    <w:rsid w:val="0045123B"/>
    <w:rsid w:val="00451877"/>
    <w:rsid w:val="00451D0B"/>
    <w:rsid w:val="00452F8F"/>
    <w:rsid w:val="004546F5"/>
    <w:rsid w:val="00454D2A"/>
    <w:rsid w:val="00455191"/>
    <w:rsid w:val="00455824"/>
    <w:rsid w:val="00455E9E"/>
    <w:rsid w:val="00456AAD"/>
    <w:rsid w:val="00456C64"/>
    <w:rsid w:val="00456F45"/>
    <w:rsid w:val="00457128"/>
    <w:rsid w:val="00457450"/>
    <w:rsid w:val="00457730"/>
    <w:rsid w:val="00457911"/>
    <w:rsid w:val="00460413"/>
    <w:rsid w:val="0046075A"/>
    <w:rsid w:val="00460895"/>
    <w:rsid w:val="00460FA5"/>
    <w:rsid w:val="0046135B"/>
    <w:rsid w:val="00461D8F"/>
    <w:rsid w:val="00462164"/>
    <w:rsid w:val="00462466"/>
    <w:rsid w:val="00462C75"/>
    <w:rsid w:val="004631E6"/>
    <w:rsid w:val="00463263"/>
    <w:rsid w:val="0046353D"/>
    <w:rsid w:val="00463766"/>
    <w:rsid w:val="004638AD"/>
    <w:rsid w:val="00463A1F"/>
    <w:rsid w:val="00463AF9"/>
    <w:rsid w:val="00464215"/>
    <w:rsid w:val="004645B4"/>
    <w:rsid w:val="00465050"/>
    <w:rsid w:val="004658A2"/>
    <w:rsid w:val="004658C8"/>
    <w:rsid w:val="0046597E"/>
    <w:rsid w:val="00465DC5"/>
    <w:rsid w:val="00466061"/>
    <w:rsid w:val="004660FE"/>
    <w:rsid w:val="00467823"/>
    <w:rsid w:val="00467F6B"/>
    <w:rsid w:val="0047078B"/>
    <w:rsid w:val="00470E43"/>
    <w:rsid w:val="00471BE2"/>
    <w:rsid w:val="00472697"/>
    <w:rsid w:val="00472E77"/>
    <w:rsid w:val="00473466"/>
    <w:rsid w:val="004736F2"/>
    <w:rsid w:val="00473BF5"/>
    <w:rsid w:val="0047405F"/>
    <w:rsid w:val="00474185"/>
    <w:rsid w:val="00474A6A"/>
    <w:rsid w:val="00475568"/>
    <w:rsid w:val="00475902"/>
    <w:rsid w:val="00475BF4"/>
    <w:rsid w:val="00475EE4"/>
    <w:rsid w:val="004763B4"/>
    <w:rsid w:val="00476687"/>
    <w:rsid w:val="00477290"/>
    <w:rsid w:val="00477627"/>
    <w:rsid w:val="00477C2E"/>
    <w:rsid w:val="00481B47"/>
    <w:rsid w:val="00481CF4"/>
    <w:rsid w:val="00482354"/>
    <w:rsid w:val="00483B4D"/>
    <w:rsid w:val="004841FD"/>
    <w:rsid w:val="00484946"/>
    <w:rsid w:val="00485497"/>
    <w:rsid w:val="00485931"/>
    <w:rsid w:val="00485CEB"/>
    <w:rsid w:val="00485ED0"/>
    <w:rsid w:val="004863DC"/>
    <w:rsid w:val="00486BB8"/>
    <w:rsid w:val="004871B5"/>
    <w:rsid w:val="00487738"/>
    <w:rsid w:val="00487F53"/>
    <w:rsid w:val="0049012A"/>
    <w:rsid w:val="00490278"/>
    <w:rsid w:val="004903D7"/>
    <w:rsid w:val="00490726"/>
    <w:rsid w:val="00490A82"/>
    <w:rsid w:val="00490CC0"/>
    <w:rsid w:val="00490E0D"/>
    <w:rsid w:val="0049120A"/>
    <w:rsid w:val="004913C9"/>
    <w:rsid w:val="00491900"/>
    <w:rsid w:val="00491B18"/>
    <w:rsid w:val="00491C1A"/>
    <w:rsid w:val="004927D8"/>
    <w:rsid w:val="00493F55"/>
    <w:rsid w:val="00493F85"/>
    <w:rsid w:val="0049414D"/>
    <w:rsid w:val="004943A6"/>
    <w:rsid w:val="004943D6"/>
    <w:rsid w:val="004946B5"/>
    <w:rsid w:val="004949ED"/>
    <w:rsid w:val="00496558"/>
    <w:rsid w:val="0049684D"/>
    <w:rsid w:val="004A0698"/>
    <w:rsid w:val="004A0F76"/>
    <w:rsid w:val="004A1509"/>
    <w:rsid w:val="004A17CD"/>
    <w:rsid w:val="004A18B4"/>
    <w:rsid w:val="004A2B4F"/>
    <w:rsid w:val="004A2B74"/>
    <w:rsid w:val="004A2D23"/>
    <w:rsid w:val="004A2EC9"/>
    <w:rsid w:val="004A38FF"/>
    <w:rsid w:val="004A3939"/>
    <w:rsid w:val="004A3C5F"/>
    <w:rsid w:val="004A4EDF"/>
    <w:rsid w:val="004A4F7B"/>
    <w:rsid w:val="004A50DA"/>
    <w:rsid w:val="004A51B2"/>
    <w:rsid w:val="004A5680"/>
    <w:rsid w:val="004A6423"/>
    <w:rsid w:val="004A65DB"/>
    <w:rsid w:val="004A6914"/>
    <w:rsid w:val="004A75C5"/>
    <w:rsid w:val="004A75F5"/>
    <w:rsid w:val="004A7C0E"/>
    <w:rsid w:val="004B0163"/>
    <w:rsid w:val="004B01C3"/>
    <w:rsid w:val="004B1E97"/>
    <w:rsid w:val="004B2310"/>
    <w:rsid w:val="004B253D"/>
    <w:rsid w:val="004B297C"/>
    <w:rsid w:val="004B2A18"/>
    <w:rsid w:val="004B2FFD"/>
    <w:rsid w:val="004B35B2"/>
    <w:rsid w:val="004B38A5"/>
    <w:rsid w:val="004B432A"/>
    <w:rsid w:val="004B43BA"/>
    <w:rsid w:val="004B45BF"/>
    <w:rsid w:val="004B4648"/>
    <w:rsid w:val="004B482A"/>
    <w:rsid w:val="004B49B2"/>
    <w:rsid w:val="004B5824"/>
    <w:rsid w:val="004B5BF1"/>
    <w:rsid w:val="004B5C4C"/>
    <w:rsid w:val="004B603D"/>
    <w:rsid w:val="004B6C6D"/>
    <w:rsid w:val="004B7148"/>
    <w:rsid w:val="004B777C"/>
    <w:rsid w:val="004B7862"/>
    <w:rsid w:val="004B78FE"/>
    <w:rsid w:val="004B79AB"/>
    <w:rsid w:val="004B7A39"/>
    <w:rsid w:val="004B7AA9"/>
    <w:rsid w:val="004B7AF7"/>
    <w:rsid w:val="004C1065"/>
    <w:rsid w:val="004C180F"/>
    <w:rsid w:val="004C1892"/>
    <w:rsid w:val="004C18AC"/>
    <w:rsid w:val="004C217E"/>
    <w:rsid w:val="004C21B3"/>
    <w:rsid w:val="004C2877"/>
    <w:rsid w:val="004C28EB"/>
    <w:rsid w:val="004C2F8D"/>
    <w:rsid w:val="004C37F8"/>
    <w:rsid w:val="004C3BCD"/>
    <w:rsid w:val="004C3C4F"/>
    <w:rsid w:val="004C404E"/>
    <w:rsid w:val="004C4920"/>
    <w:rsid w:val="004C4EAC"/>
    <w:rsid w:val="004C4F53"/>
    <w:rsid w:val="004C5122"/>
    <w:rsid w:val="004C5604"/>
    <w:rsid w:val="004C561D"/>
    <w:rsid w:val="004C58F4"/>
    <w:rsid w:val="004C5A07"/>
    <w:rsid w:val="004C5B22"/>
    <w:rsid w:val="004C62CF"/>
    <w:rsid w:val="004C6679"/>
    <w:rsid w:val="004C6E8A"/>
    <w:rsid w:val="004C7017"/>
    <w:rsid w:val="004C7DEA"/>
    <w:rsid w:val="004D0F4C"/>
    <w:rsid w:val="004D1B3C"/>
    <w:rsid w:val="004D1CD2"/>
    <w:rsid w:val="004D2415"/>
    <w:rsid w:val="004D2808"/>
    <w:rsid w:val="004D2DC0"/>
    <w:rsid w:val="004D2FDD"/>
    <w:rsid w:val="004D32BE"/>
    <w:rsid w:val="004D3DF1"/>
    <w:rsid w:val="004D4035"/>
    <w:rsid w:val="004D4903"/>
    <w:rsid w:val="004D4EEE"/>
    <w:rsid w:val="004D5554"/>
    <w:rsid w:val="004D57A7"/>
    <w:rsid w:val="004D5D97"/>
    <w:rsid w:val="004D5E90"/>
    <w:rsid w:val="004D5F24"/>
    <w:rsid w:val="004D651F"/>
    <w:rsid w:val="004D688D"/>
    <w:rsid w:val="004D6AC0"/>
    <w:rsid w:val="004D74B2"/>
    <w:rsid w:val="004D781D"/>
    <w:rsid w:val="004D7D70"/>
    <w:rsid w:val="004E167E"/>
    <w:rsid w:val="004E21DA"/>
    <w:rsid w:val="004E21F6"/>
    <w:rsid w:val="004E23EA"/>
    <w:rsid w:val="004E255C"/>
    <w:rsid w:val="004E2DCD"/>
    <w:rsid w:val="004E329D"/>
    <w:rsid w:val="004E3E2F"/>
    <w:rsid w:val="004E4798"/>
    <w:rsid w:val="004E4DF7"/>
    <w:rsid w:val="004E5062"/>
    <w:rsid w:val="004E64E8"/>
    <w:rsid w:val="004E68CA"/>
    <w:rsid w:val="004E6B43"/>
    <w:rsid w:val="004E6DEC"/>
    <w:rsid w:val="004E77A6"/>
    <w:rsid w:val="004E79EA"/>
    <w:rsid w:val="004E7A9E"/>
    <w:rsid w:val="004E7FBE"/>
    <w:rsid w:val="004F027D"/>
    <w:rsid w:val="004F05D4"/>
    <w:rsid w:val="004F1BD0"/>
    <w:rsid w:val="004F1E49"/>
    <w:rsid w:val="004F21AC"/>
    <w:rsid w:val="004F273F"/>
    <w:rsid w:val="004F38AA"/>
    <w:rsid w:val="004F3904"/>
    <w:rsid w:val="004F4653"/>
    <w:rsid w:val="004F4BCC"/>
    <w:rsid w:val="004F5E6E"/>
    <w:rsid w:val="005004C7"/>
    <w:rsid w:val="0050077F"/>
    <w:rsid w:val="00501224"/>
    <w:rsid w:val="0050138A"/>
    <w:rsid w:val="00501A1F"/>
    <w:rsid w:val="00501CF8"/>
    <w:rsid w:val="00501F31"/>
    <w:rsid w:val="00502426"/>
    <w:rsid w:val="005024B3"/>
    <w:rsid w:val="00502557"/>
    <w:rsid w:val="00502B67"/>
    <w:rsid w:val="00502C70"/>
    <w:rsid w:val="005031CF"/>
    <w:rsid w:val="00503480"/>
    <w:rsid w:val="005042A9"/>
    <w:rsid w:val="005054A7"/>
    <w:rsid w:val="0050592B"/>
    <w:rsid w:val="00505FDF"/>
    <w:rsid w:val="00506F8B"/>
    <w:rsid w:val="00506FA5"/>
    <w:rsid w:val="0050715B"/>
    <w:rsid w:val="00507382"/>
    <w:rsid w:val="00507656"/>
    <w:rsid w:val="005076F0"/>
    <w:rsid w:val="00510658"/>
    <w:rsid w:val="005106E8"/>
    <w:rsid w:val="005108B0"/>
    <w:rsid w:val="00510959"/>
    <w:rsid w:val="00510CF0"/>
    <w:rsid w:val="00511268"/>
    <w:rsid w:val="00511BBC"/>
    <w:rsid w:val="00511D96"/>
    <w:rsid w:val="00512057"/>
    <w:rsid w:val="005121F1"/>
    <w:rsid w:val="00512AE2"/>
    <w:rsid w:val="005133DE"/>
    <w:rsid w:val="005135A0"/>
    <w:rsid w:val="00513A18"/>
    <w:rsid w:val="00513CC6"/>
    <w:rsid w:val="00513D9E"/>
    <w:rsid w:val="0051425E"/>
    <w:rsid w:val="00514670"/>
    <w:rsid w:val="00514781"/>
    <w:rsid w:val="00514C17"/>
    <w:rsid w:val="005151BD"/>
    <w:rsid w:val="00515932"/>
    <w:rsid w:val="005159F3"/>
    <w:rsid w:val="00515EFB"/>
    <w:rsid w:val="005167C3"/>
    <w:rsid w:val="00517645"/>
    <w:rsid w:val="0051769A"/>
    <w:rsid w:val="00517D04"/>
    <w:rsid w:val="00517D7D"/>
    <w:rsid w:val="005202A6"/>
    <w:rsid w:val="0052062F"/>
    <w:rsid w:val="00521810"/>
    <w:rsid w:val="0052211E"/>
    <w:rsid w:val="005223F3"/>
    <w:rsid w:val="0052379D"/>
    <w:rsid w:val="00523885"/>
    <w:rsid w:val="005238C5"/>
    <w:rsid w:val="00523EDA"/>
    <w:rsid w:val="00525350"/>
    <w:rsid w:val="00525BA0"/>
    <w:rsid w:val="00526226"/>
    <w:rsid w:val="00526C1A"/>
    <w:rsid w:val="005273AD"/>
    <w:rsid w:val="00527532"/>
    <w:rsid w:val="00527E7A"/>
    <w:rsid w:val="00527E97"/>
    <w:rsid w:val="00530FF9"/>
    <w:rsid w:val="00531232"/>
    <w:rsid w:val="00531690"/>
    <w:rsid w:val="00531A62"/>
    <w:rsid w:val="00531C2F"/>
    <w:rsid w:val="0053223A"/>
    <w:rsid w:val="00532917"/>
    <w:rsid w:val="00532AD9"/>
    <w:rsid w:val="00533222"/>
    <w:rsid w:val="00533524"/>
    <w:rsid w:val="0053424C"/>
    <w:rsid w:val="00534DB7"/>
    <w:rsid w:val="00534E98"/>
    <w:rsid w:val="00535160"/>
    <w:rsid w:val="005355F8"/>
    <w:rsid w:val="005356D9"/>
    <w:rsid w:val="00536759"/>
    <w:rsid w:val="00537685"/>
    <w:rsid w:val="00537A9B"/>
    <w:rsid w:val="00537D41"/>
    <w:rsid w:val="00541539"/>
    <w:rsid w:val="005425CF"/>
    <w:rsid w:val="005428FE"/>
    <w:rsid w:val="00542AEB"/>
    <w:rsid w:val="00542CFA"/>
    <w:rsid w:val="00542D2A"/>
    <w:rsid w:val="00542D2D"/>
    <w:rsid w:val="00543BC2"/>
    <w:rsid w:val="00544C2F"/>
    <w:rsid w:val="00545BDA"/>
    <w:rsid w:val="00546051"/>
    <w:rsid w:val="00546735"/>
    <w:rsid w:val="0054694F"/>
    <w:rsid w:val="005478AD"/>
    <w:rsid w:val="00551048"/>
    <w:rsid w:val="00551522"/>
    <w:rsid w:val="00551559"/>
    <w:rsid w:val="00551583"/>
    <w:rsid w:val="00552112"/>
    <w:rsid w:val="00552BC7"/>
    <w:rsid w:val="00552F7D"/>
    <w:rsid w:val="0055317B"/>
    <w:rsid w:val="005547DC"/>
    <w:rsid w:val="00555117"/>
    <w:rsid w:val="0055531F"/>
    <w:rsid w:val="005557C1"/>
    <w:rsid w:val="00555CFD"/>
    <w:rsid w:val="00556751"/>
    <w:rsid w:val="005576A4"/>
    <w:rsid w:val="00557B57"/>
    <w:rsid w:val="0056024F"/>
    <w:rsid w:val="005606A1"/>
    <w:rsid w:val="0056099A"/>
    <w:rsid w:val="0056193E"/>
    <w:rsid w:val="005619E6"/>
    <w:rsid w:val="00561D8D"/>
    <w:rsid w:val="00562057"/>
    <w:rsid w:val="00563065"/>
    <w:rsid w:val="005630AC"/>
    <w:rsid w:val="005633EC"/>
    <w:rsid w:val="005635BF"/>
    <w:rsid w:val="00564668"/>
    <w:rsid w:val="005648DF"/>
    <w:rsid w:val="005649C7"/>
    <w:rsid w:val="00564FC4"/>
    <w:rsid w:val="0056500A"/>
    <w:rsid w:val="00565682"/>
    <w:rsid w:val="00565C17"/>
    <w:rsid w:val="005662BE"/>
    <w:rsid w:val="00566E66"/>
    <w:rsid w:val="00566FAF"/>
    <w:rsid w:val="0056738D"/>
    <w:rsid w:val="00570150"/>
    <w:rsid w:val="005702C5"/>
    <w:rsid w:val="005703F1"/>
    <w:rsid w:val="00570CCB"/>
    <w:rsid w:val="00570EFF"/>
    <w:rsid w:val="00571AB2"/>
    <w:rsid w:val="00571BA2"/>
    <w:rsid w:val="00572748"/>
    <w:rsid w:val="005729EF"/>
    <w:rsid w:val="00572A56"/>
    <w:rsid w:val="0057375A"/>
    <w:rsid w:val="00574244"/>
    <w:rsid w:val="005743F9"/>
    <w:rsid w:val="00575AB5"/>
    <w:rsid w:val="00575EA5"/>
    <w:rsid w:val="005766DD"/>
    <w:rsid w:val="005807FC"/>
    <w:rsid w:val="005812D6"/>
    <w:rsid w:val="00581309"/>
    <w:rsid w:val="0058165A"/>
    <w:rsid w:val="00581B43"/>
    <w:rsid w:val="0058268D"/>
    <w:rsid w:val="005827F0"/>
    <w:rsid w:val="00582E00"/>
    <w:rsid w:val="00583F25"/>
    <w:rsid w:val="005846B6"/>
    <w:rsid w:val="0058498B"/>
    <w:rsid w:val="00586134"/>
    <w:rsid w:val="005867A9"/>
    <w:rsid w:val="005871C6"/>
    <w:rsid w:val="00587B2D"/>
    <w:rsid w:val="00587B30"/>
    <w:rsid w:val="00590285"/>
    <w:rsid w:val="0059060B"/>
    <w:rsid w:val="00590943"/>
    <w:rsid w:val="00590ABE"/>
    <w:rsid w:val="005921FF"/>
    <w:rsid w:val="00592AC5"/>
    <w:rsid w:val="00592DBB"/>
    <w:rsid w:val="00592EFB"/>
    <w:rsid w:val="00593C68"/>
    <w:rsid w:val="005940E7"/>
    <w:rsid w:val="00594351"/>
    <w:rsid w:val="00595AF5"/>
    <w:rsid w:val="00595F06"/>
    <w:rsid w:val="005963EA"/>
    <w:rsid w:val="005A0926"/>
    <w:rsid w:val="005A0D95"/>
    <w:rsid w:val="005A1699"/>
    <w:rsid w:val="005A1B7F"/>
    <w:rsid w:val="005A3B4F"/>
    <w:rsid w:val="005A3B8D"/>
    <w:rsid w:val="005A4134"/>
    <w:rsid w:val="005A4E3B"/>
    <w:rsid w:val="005A5301"/>
    <w:rsid w:val="005A53F2"/>
    <w:rsid w:val="005A5B5C"/>
    <w:rsid w:val="005A60C3"/>
    <w:rsid w:val="005A7AD5"/>
    <w:rsid w:val="005A7E0B"/>
    <w:rsid w:val="005A7E85"/>
    <w:rsid w:val="005B1230"/>
    <w:rsid w:val="005B176A"/>
    <w:rsid w:val="005B2E33"/>
    <w:rsid w:val="005B339A"/>
    <w:rsid w:val="005B4101"/>
    <w:rsid w:val="005B4245"/>
    <w:rsid w:val="005B456B"/>
    <w:rsid w:val="005B4BE2"/>
    <w:rsid w:val="005B5765"/>
    <w:rsid w:val="005B5867"/>
    <w:rsid w:val="005B64C4"/>
    <w:rsid w:val="005B6772"/>
    <w:rsid w:val="005B6871"/>
    <w:rsid w:val="005B6E9E"/>
    <w:rsid w:val="005B741D"/>
    <w:rsid w:val="005C026C"/>
    <w:rsid w:val="005C0F84"/>
    <w:rsid w:val="005C105B"/>
    <w:rsid w:val="005C1314"/>
    <w:rsid w:val="005C2785"/>
    <w:rsid w:val="005C3707"/>
    <w:rsid w:val="005C3CA6"/>
    <w:rsid w:val="005C4741"/>
    <w:rsid w:val="005C4953"/>
    <w:rsid w:val="005C4FB7"/>
    <w:rsid w:val="005C5B03"/>
    <w:rsid w:val="005C6E83"/>
    <w:rsid w:val="005C7901"/>
    <w:rsid w:val="005C7EDC"/>
    <w:rsid w:val="005D07E4"/>
    <w:rsid w:val="005D19B8"/>
    <w:rsid w:val="005D1D7E"/>
    <w:rsid w:val="005D214D"/>
    <w:rsid w:val="005D224B"/>
    <w:rsid w:val="005D28F3"/>
    <w:rsid w:val="005D3619"/>
    <w:rsid w:val="005D3830"/>
    <w:rsid w:val="005D3993"/>
    <w:rsid w:val="005D4528"/>
    <w:rsid w:val="005D4ADE"/>
    <w:rsid w:val="005D54A2"/>
    <w:rsid w:val="005D6AF0"/>
    <w:rsid w:val="005D6C50"/>
    <w:rsid w:val="005D7139"/>
    <w:rsid w:val="005D7B70"/>
    <w:rsid w:val="005E0888"/>
    <w:rsid w:val="005E08A3"/>
    <w:rsid w:val="005E0FEF"/>
    <w:rsid w:val="005E1CA6"/>
    <w:rsid w:val="005E1DEE"/>
    <w:rsid w:val="005E1F3D"/>
    <w:rsid w:val="005E1F7B"/>
    <w:rsid w:val="005E235D"/>
    <w:rsid w:val="005E238F"/>
    <w:rsid w:val="005E2E4F"/>
    <w:rsid w:val="005E3271"/>
    <w:rsid w:val="005E34ED"/>
    <w:rsid w:val="005E3AA1"/>
    <w:rsid w:val="005E3C8D"/>
    <w:rsid w:val="005E4180"/>
    <w:rsid w:val="005E44B4"/>
    <w:rsid w:val="005E4590"/>
    <w:rsid w:val="005E46A7"/>
    <w:rsid w:val="005E56EF"/>
    <w:rsid w:val="005E5968"/>
    <w:rsid w:val="005E59DD"/>
    <w:rsid w:val="005E5CD3"/>
    <w:rsid w:val="005E5F51"/>
    <w:rsid w:val="005F091B"/>
    <w:rsid w:val="005F11E7"/>
    <w:rsid w:val="005F11FA"/>
    <w:rsid w:val="005F20F8"/>
    <w:rsid w:val="005F22C2"/>
    <w:rsid w:val="005F2422"/>
    <w:rsid w:val="005F2A17"/>
    <w:rsid w:val="005F300A"/>
    <w:rsid w:val="005F3049"/>
    <w:rsid w:val="005F4BD6"/>
    <w:rsid w:val="005F4BF6"/>
    <w:rsid w:val="005F4F2A"/>
    <w:rsid w:val="005F5528"/>
    <w:rsid w:val="005F65C7"/>
    <w:rsid w:val="005F67C5"/>
    <w:rsid w:val="005F6A09"/>
    <w:rsid w:val="005F71B6"/>
    <w:rsid w:val="005F7AF4"/>
    <w:rsid w:val="005F7B33"/>
    <w:rsid w:val="006016CE"/>
    <w:rsid w:val="00601F01"/>
    <w:rsid w:val="006041F6"/>
    <w:rsid w:val="00604222"/>
    <w:rsid w:val="00604406"/>
    <w:rsid w:val="006048A8"/>
    <w:rsid w:val="00604CCE"/>
    <w:rsid w:val="0060625C"/>
    <w:rsid w:val="0060644C"/>
    <w:rsid w:val="006069F3"/>
    <w:rsid w:val="00607282"/>
    <w:rsid w:val="0060763D"/>
    <w:rsid w:val="00607641"/>
    <w:rsid w:val="00607BD7"/>
    <w:rsid w:val="0061007F"/>
    <w:rsid w:val="006101FE"/>
    <w:rsid w:val="006125D1"/>
    <w:rsid w:val="0061315F"/>
    <w:rsid w:val="0061343E"/>
    <w:rsid w:val="00613473"/>
    <w:rsid w:val="006134FA"/>
    <w:rsid w:val="00614499"/>
    <w:rsid w:val="00614714"/>
    <w:rsid w:val="006150AF"/>
    <w:rsid w:val="0061514E"/>
    <w:rsid w:val="00615166"/>
    <w:rsid w:val="006152E0"/>
    <w:rsid w:val="00615393"/>
    <w:rsid w:val="006154E7"/>
    <w:rsid w:val="00615981"/>
    <w:rsid w:val="00615AD3"/>
    <w:rsid w:val="00615E13"/>
    <w:rsid w:val="00616113"/>
    <w:rsid w:val="0061614F"/>
    <w:rsid w:val="0061704F"/>
    <w:rsid w:val="00617CB3"/>
    <w:rsid w:val="0062013C"/>
    <w:rsid w:val="006207EE"/>
    <w:rsid w:val="00620872"/>
    <w:rsid w:val="00620E06"/>
    <w:rsid w:val="00620EBB"/>
    <w:rsid w:val="006211F6"/>
    <w:rsid w:val="006220F0"/>
    <w:rsid w:val="00622916"/>
    <w:rsid w:val="00622D79"/>
    <w:rsid w:val="00622ECE"/>
    <w:rsid w:val="006230E4"/>
    <w:rsid w:val="006234CF"/>
    <w:rsid w:val="00623540"/>
    <w:rsid w:val="006236AE"/>
    <w:rsid w:val="00623716"/>
    <w:rsid w:val="00623CA3"/>
    <w:rsid w:val="00624D58"/>
    <w:rsid w:val="006251B4"/>
    <w:rsid w:val="00625221"/>
    <w:rsid w:val="00626340"/>
    <w:rsid w:val="0062663A"/>
    <w:rsid w:val="0062674A"/>
    <w:rsid w:val="00626883"/>
    <w:rsid w:val="00626DCF"/>
    <w:rsid w:val="00627170"/>
    <w:rsid w:val="006308C4"/>
    <w:rsid w:val="00631407"/>
    <w:rsid w:val="00631960"/>
    <w:rsid w:val="00631AF2"/>
    <w:rsid w:val="006320CB"/>
    <w:rsid w:val="00632174"/>
    <w:rsid w:val="00632894"/>
    <w:rsid w:val="006332F3"/>
    <w:rsid w:val="00634195"/>
    <w:rsid w:val="006341BB"/>
    <w:rsid w:val="006342B5"/>
    <w:rsid w:val="0063495C"/>
    <w:rsid w:val="00634ADA"/>
    <w:rsid w:val="0063547B"/>
    <w:rsid w:val="0063549E"/>
    <w:rsid w:val="00635A95"/>
    <w:rsid w:val="006364A0"/>
    <w:rsid w:val="0063654C"/>
    <w:rsid w:val="006366EF"/>
    <w:rsid w:val="00636918"/>
    <w:rsid w:val="00636E48"/>
    <w:rsid w:val="00636E92"/>
    <w:rsid w:val="006375A1"/>
    <w:rsid w:val="006406B9"/>
    <w:rsid w:val="006415A6"/>
    <w:rsid w:val="00641877"/>
    <w:rsid w:val="00641EEF"/>
    <w:rsid w:val="00642D34"/>
    <w:rsid w:val="00643B38"/>
    <w:rsid w:val="00644085"/>
    <w:rsid w:val="00644DF1"/>
    <w:rsid w:val="00645B41"/>
    <w:rsid w:val="00646FD0"/>
    <w:rsid w:val="006470F2"/>
    <w:rsid w:val="00647327"/>
    <w:rsid w:val="006476CC"/>
    <w:rsid w:val="00647C99"/>
    <w:rsid w:val="00650239"/>
    <w:rsid w:val="00650444"/>
    <w:rsid w:val="0065064C"/>
    <w:rsid w:val="00651435"/>
    <w:rsid w:val="0065230F"/>
    <w:rsid w:val="00653976"/>
    <w:rsid w:val="006539AC"/>
    <w:rsid w:val="00653E0A"/>
    <w:rsid w:val="0065460A"/>
    <w:rsid w:val="00654E7A"/>
    <w:rsid w:val="00654E98"/>
    <w:rsid w:val="00654FF6"/>
    <w:rsid w:val="006551A8"/>
    <w:rsid w:val="00655540"/>
    <w:rsid w:val="00655863"/>
    <w:rsid w:val="00656192"/>
    <w:rsid w:val="0065619B"/>
    <w:rsid w:val="00656DFE"/>
    <w:rsid w:val="00656EB0"/>
    <w:rsid w:val="00656FD6"/>
    <w:rsid w:val="00657041"/>
    <w:rsid w:val="00657539"/>
    <w:rsid w:val="0066087E"/>
    <w:rsid w:val="00662D73"/>
    <w:rsid w:val="00662E40"/>
    <w:rsid w:val="0066387E"/>
    <w:rsid w:val="00663B2A"/>
    <w:rsid w:val="006644BD"/>
    <w:rsid w:val="006644F3"/>
    <w:rsid w:val="006648CD"/>
    <w:rsid w:val="006649AC"/>
    <w:rsid w:val="006649EB"/>
    <w:rsid w:val="006650CB"/>
    <w:rsid w:val="00665E5D"/>
    <w:rsid w:val="00666744"/>
    <w:rsid w:val="00666B42"/>
    <w:rsid w:val="0066726C"/>
    <w:rsid w:val="00667404"/>
    <w:rsid w:val="006676D2"/>
    <w:rsid w:val="0066777A"/>
    <w:rsid w:val="00667974"/>
    <w:rsid w:val="00667A58"/>
    <w:rsid w:val="006700C3"/>
    <w:rsid w:val="00670429"/>
    <w:rsid w:val="00670FF2"/>
    <w:rsid w:val="0067144D"/>
    <w:rsid w:val="006714DF"/>
    <w:rsid w:val="00671E7A"/>
    <w:rsid w:val="00671EC6"/>
    <w:rsid w:val="00672422"/>
    <w:rsid w:val="00672F25"/>
    <w:rsid w:val="0067317A"/>
    <w:rsid w:val="00673FF5"/>
    <w:rsid w:val="006743F7"/>
    <w:rsid w:val="00674410"/>
    <w:rsid w:val="00674B3B"/>
    <w:rsid w:val="006752A8"/>
    <w:rsid w:val="0067536B"/>
    <w:rsid w:val="00675E12"/>
    <w:rsid w:val="00675FDB"/>
    <w:rsid w:val="006763F2"/>
    <w:rsid w:val="00677A5E"/>
    <w:rsid w:val="00677B77"/>
    <w:rsid w:val="00677B9D"/>
    <w:rsid w:val="00677E67"/>
    <w:rsid w:val="006801F0"/>
    <w:rsid w:val="00680F45"/>
    <w:rsid w:val="0068122B"/>
    <w:rsid w:val="006812AF"/>
    <w:rsid w:val="006817BA"/>
    <w:rsid w:val="006817F1"/>
    <w:rsid w:val="0068183D"/>
    <w:rsid w:val="00683D46"/>
    <w:rsid w:val="00683F5C"/>
    <w:rsid w:val="00684820"/>
    <w:rsid w:val="006852B0"/>
    <w:rsid w:val="006855F7"/>
    <w:rsid w:val="00685A72"/>
    <w:rsid w:val="00685B66"/>
    <w:rsid w:val="00685EC0"/>
    <w:rsid w:val="00686001"/>
    <w:rsid w:val="00686345"/>
    <w:rsid w:val="006877A2"/>
    <w:rsid w:val="00687B70"/>
    <w:rsid w:val="00690108"/>
    <w:rsid w:val="00690D1A"/>
    <w:rsid w:val="00691204"/>
    <w:rsid w:val="006916ED"/>
    <w:rsid w:val="0069189B"/>
    <w:rsid w:val="00691F19"/>
    <w:rsid w:val="006925A2"/>
    <w:rsid w:val="00693834"/>
    <w:rsid w:val="00694232"/>
    <w:rsid w:val="00695645"/>
    <w:rsid w:val="00696DD1"/>
    <w:rsid w:val="00697918"/>
    <w:rsid w:val="00697EB4"/>
    <w:rsid w:val="006A070A"/>
    <w:rsid w:val="006A1295"/>
    <w:rsid w:val="006A182E"/>
    <w:rsid w:val="006A18CB"/>
    <w:rsid w:val="006A2927"/>
    <w:rsid w:val="006A2A65"/>
    <w:rsid w:val="006A2C5D"/>
    <w:rsid w:val="006A39DC"/>
    <w:rsid w:val="006A3B71"/>
    <w:rsid w:val="006A4AD5"/>
    <w:rsid w:val="006A4E2E"/>
    <w:rsid w:val="006A5372"/>
    <w:rsid w:val="006A54AB"/>
    <w:rsid w:val="006A54FF"/>
    <w:rsid w:val="006A5921"/>
    <w:rsid w:val="006A5AF6"/>
    <w:rsid w:val="006A5B71"/>
    <w:rsid w:val="006A670B"/>
    <w:rsid w:val="006A677E"/>
    <w:rsid w:val="006A67D5"/>
    <w:rsid w:val="006A6A85"/>
    <w:rsid w:val="006A6D48"/>
    <w:rsid w:val="006A6E35"/>
    <w:rsid w:val="006A6FEC"/>
    <w:rsid w:val="006A7427"/>
    <w:rsid w:val="006A7450"/>
    <w:rsid w:val="006A75C8"/>
    <w:rsid w:val="006A7773"/>
    <w:rsid w:val="006A77C1"/>
    <w:rsid w:val="006A7D25"/>
    <w:rsid w:val="006B10B5"/>
    <w:rsid w:val="006B10D7"/>
    <w:rsid w:val="006B1446"/>
    <w:rsid w:val="006B25A9"/>
    <w:rsid w:val="006B2A4B"/>
    <w:rsid w:val="006B2CD0"/>
    <w:rsid w:val="006B424D"/>
    <w:rsid w:val="006B4797"/>
    <w:rsid w:val="006B60EB"/>
    <w:rsid w:val="006B657A"/>
    <w:rsid w:val="006B6A6D"/>
    <w:rsid w:val="006B6D24"/>
    <w:rsid w:val="006B7083"/>
    <w:rsid w:val="006B7458"/>
    <w:rsid w:val="006C141D"/>
    <w:rsid w:val="006C1625"/>
    <w:rsid w:val="006C16E2"/>
    <w:rsid w:val="006C2C74"/>
    <w:rsid w:val="006C31D1"/>
    <w:rsid w:val="006C34B3"/>
    <w:rsid w:val="006C3F8C"/>
    <w:rsid w:val="006C41AC"/>
    <w:rsid w:val="006C4229"/>
    <w:rsid w:val="006C5E23"/>
    <w:rsid w:val="006C5FEF"/>
    <w:rsid w:val="006C6DDF"/>
    <w:rsid w:val="006C6F20"/>
    <w:rsid w:val="006C7D41"/>
    <w:rsid w:val="006D0189"/>
    <w:rsid w:val="006D0302"/>
    <w:rsid w:val="006D0C43"/>
    <w:rsid w:val="006D0FB4"/>
    <w:rsid w:val="006D1544"/>
    <w:rsid w:val="006D1C18"/>
    <w:rsid w:val="006D1FD0"/>
    <w:rsid w:val="006D2819"/>
    <w:rsid w:val="006D2A8F"/>
    <w:rsid w:val="006D3BED"/>
    <w:rsid w:val="006D4F18"/>
    <w:rsid w:val="006D5798"/>
    <w:rsid w:val="006D58B9"/>
    <w:rsid w:val="006D6098"/>
    <w:rsid w:val="006D71E1"/>
    <w:rsid w:val="006D773F"/>
    <w:rsid w:val="006D7A68"/>
    <w:rsid w:val="006D7BE0"/>
    <w:rsid w:val="006D7BF0"/>
    <w:rsid w:val="006E04A2"/>
    <w:rsid w:val="006E23F1"/>
    <w:rsid w:val="006E2701"/>
    <w:rsid w:val="006E271F"/>
    <w:rsid w:val="006E300B"/>
    <w:rsid w:val="006E3028"/>
    <w:rsid w:val="006E371B"/>
    <w:rsid w:val="006E4178"/>
    <w:rsid w:val="006E4A55"/>
    <w:rsid w:val="006E4A77"/>
    <w:rsid w:val="006E4ECF"/>
    <w:rsid w:val="006E5480"/>
    <w:rsid w:val="006E55C8"/>
    <w:rsid w:val="006E6959"/>
    <w:rsid w:val="006E6D26"/>
    <w:rsid w:val="006E78BE"/>
    <w:rsid w:val="006E7A06"/>
    <w:rsid w:val="006E7AEA"/>
    <w:rsid w:val="006F1317"/>
    <w:rsid w:val="006F1331"/>
    <w:rsid w:val="006F13ED"/>
    <w:rsid w:val="006F1BF9"/>
    <w:rsid w:val="006F1F4F"/>
    <w:rsid w:val="006F1FF9"/>
    <w:rsid w:val="006F21E8"/>
    <w:rsid w:val="006F2253"/>
    <w:rsid w:val="006F22BE"/>
    <w:rsid w:val="006F2A7D"/>
    <w:rsid w:val="006F321C"/>
    <w:rsid w:val="006F32ED"/>
    <w:rsid w:val="006F3560"/>
    <w:rsid w:val="006F466A"/>
    <w:rsid w:val="006F4BE4"/>
    <w:rsid w:val="006F4C20"/>
    <w:rsid w:val="006F4D6F"/>
    <w:rsid w:val="006F4F24"/>
    <w:rsid w:val="006F50A9"/>
    <w:rsid w:val="006F50C6"/>
    <w:rsid w:val="006F51BE"/>
    <w:rsid w:val="006F52F5"/>
    <w:rsid w:val="006F5BE9"/>
    <w:rsid w:val="006F6462"/>
    <w:rsid w:val="006F64F6"/>
    <w:rsid w:val="006F69DD"/>
    <w:rsid w:val="006F7652"/>
    <w:rsid w:val="006F7D1E"/>
    <w:rsid w:val="007002CC"/>
    <w:rsid w:val="0070066A"/>
    <w:rsid w:val="00700BE0"/>
    <w:rsid w:val="00700CA7"/>
    <w:rsid w:val="00701B96"/>
    <w:rsid w:val="00701DEB"/>
    <w:rsid w:val="00702019"/>
    <w:rsid w:val="00703A0A"/>
    <w:rsid w:val="00704A79"/>
    <w:rsid w:val="00704ACC"/>
    <w:rsid w:val="00704CAD"/>
    <w:rsid w:val="007058D8"/>
    <w:rsid w:val="0070658A"/>
    <w:rsid w:val="007066F7"/>
    <w:rsid w:val="0070673E"/>
    <w:rsid w:val="00706E37"/>
    <w:rsid w:val="00707228"/>
    <w:rsid w:val="0070725B"/>
    <w:rsid w:val="00707271"/>
    <w:rsid w:val="007072B5"/>
    <w:rsid w:val="00710220"/>
    <w:rsid w:val="00710F3D"/>
    <w:rsid w:val="007111C5"/>
    <w:rsid w:val="007118DB"/>
    <w:rsid w:val="00712467"/>
    <w:rsid w:val="00713094"/>
    <w:rsid w:val="00713DF2"/>
    <w:rsid w:val="00714587"/>
    <w:rsid w:val="0071519A"/>
    <w:rsid w:val="00715995"/>
    <w:rsid w:val="00715BD1"/>
    <w:rsid w:val="00715DFF"/>
    <w:rsid w:val="00715E3E"/>
    <w:rsid w:val="0071639F"/>
    <w:rsid w:val="00716635"/>
    <w:rsid w:val="0071696D"/>
    <w:rsid w:val="007169DF"/>
    <w:rsid w:val="007170D1"/>
    <w:rsid w:val="00721849"/>
    <w:rsid w:val="00721E0D"/>
    <w:rsid w:val="00721EDE"/>
    <w:rsid w:val="007223DE"/>
    <w:rsid w:val="007227E7"/>
    <w:rsid w:val="00722830"/>
    <w:rsid w:val="007228C7"/>
    <w:rsid w:val="0072341C"/>
    <w:rsid w:val="00723500"/>
    <w:rsid w:val="00723DFB"/>
    <w:rsid w:val="0072412D"/>
    <w:rsid w:val="00724160"/>
    <w:rsid w:val="007243DA"/>
    <w:rsid w:val="00724591"/>
    <w:rsid w:val="00724746"/>
    <w:rsid w:val="00724FEF"/>
    <w:rsid w:val="00725B34"/>
    <w:rsid w:val="00726034"/>
    <w:rsid w:val="00726AE8"/>
    <w:rsid w:val="00726B15"/>
    <w:rsid w:val="00727ABE"/>
    <w:rsid w:val="00727AC0"/>
    <w:rsid w:val="00730158"/>
    <w:rsid w:val="007311BE"/>
    <w:rsid w:val="00732A0B"/>
    <w:rsid w:val="00732CFC"/>
    <w:rsid w:val="007331F2"/>
    <w:rsid w:val="007342AE"/>
    <w:rsid w:val="00735114"/>
    <w:rsid w:val="00735CD9"/>
    <w:rsid w:val="00736DDF"/>
    <w:rsid w:val="007371E0"/>
    <w:rsid w:val="00737E8D"/>
    <w:rsid w:val="007401D9"/>
    <w:rsid w:val="00741863"/>
    <w:rsid w:val="00741F69"/>
    <w:rsid w:val="00742929"/>
    <w:rsid w:val="007433B5"/>
    <w:rsid w:val="007443DD"/>
    <w:rsid w:val="00744830"/>
    <w:rsid w:val="00745406"/>
    <w:rsid w:val="00745708"/>
    <w:rsid w:val="00745785"/>
    <w:rsid w:val="00745C28"/>
    <w:rsid w:val="007465B5"/>
    <w:rsid w:val="00746B26"/>
    <w:rsid w:val="00747190"/>
    <w:rsid w:val="00747F11"/>
    <w:rsid w:val="00747FF5"/>
    <w:rsid w:val="007500A1"/>
    <w:rsid w:val="00750E67"/>
    <w:rsid w:val="0075140C"/>
    <w:rsid w:val="0075163A"/>
    <w:rsid w:val="00752418"/>
    <w:rsid w:val="007546F0"/>
    <w:rsid w:val="00754EE4"/>
    <w:rsid w:val="00756C18"/>
    <w:rsid w:val="00757288"/>
    <w:rsid w:val="00757698"/>
    <w:rsid w:val="00757DB3"/>
    <w:rsid w:val="00760587"/>
    <w:rsid w:val="007609C8"/>
    <w:rsid w:val="00761205"/>
    <w:rsid w:val="00761A7D"/>
    <w:rsid w:val="00761F51"/>
    <w:rsid w:val="007621AF"/>
    <w:rsid w:val="0076228A"/>
    <w:rsid w:val="007622F0"/>
    <w:rsid w:val="00762F3C"/>
    <w:rsid w:val="00763263"/>
    <w:rsid w:val="0076381F"/>
    <w:rsid w:val="007639C0"/>
    <w:rsid w:val="007644D5"/>
    <w:rsid w:val="00764C94"/>
    <w:rsid w:val="0076534D"/>
    <w:rsid w:val="0076599A"/>
    <w:rsid w:val="00765AB6"/>
    <w:rsid w:val="00765FC7"/>
    <w:rsid w:val="0076700D"/>
    <w:rsid w:val="007678D4"/>
    <w:rsid w:val="00767980"/>
    <w:rsid w:val="00767B13"/>
    <w:rsid w:val="00767D19"/>
    <w:rsid w:val="007703D4"/>
    <w:rsid w:val="00771202"/>
    <w:rsid w:val="0077149F"/>
    <w:rsid w:val="00771ACB"/>
    <w:rsid w:val="00771BEC"/>
    <w:rsid w:val="00772121"/>
    <w:rsid w:val="0077216D"/>
    <w:rsid w:val="00772223"/>
    <w:rsid w:val="00772C78"/>
    <w:rsid w:val="007743AD"/>
    <w:rsid w:val="00774452"/>
    <w:rsid w:val="00775300"/>
    <w:rsid w:val="0077584E"/>
    <w:rsid w:val="0077584F"/>
    <w:rsid w:val="00776505"/>
    <w:rsid w:val="00777492"/>
    <w:rsid w:val="007777FF"/>
    <w:rsid w:val="00777B39"/>
    <w:rsid w:val="00777E92"/>
    <w:rsid w:val="007801DD"/>
    <w:rsid w:val="00781741"/>
    <w:rsid w:val="00781A70"/>
    <w:rsid w:val="00781ABC"/>
    <w:rsid w:val="00781ADA"/>
    <w:rsid w:val="00781BD2"/>
    <w:rsid w:val="0078247F"/>
    <w:rsid w:val="00782659"/>
    <w:rsid w:val="00782DDB"/>
    <w:rsid w:val="00783075"/>
    <w:rsid w:val="007830A7"/>
    <w:rsid w:val="007833B1"/>
    <w:rsid w:val="00783702"/>
    <w:rsid w:val="00783917"/>
    <w:rsid w:val="00783E5D"/>
    <w:rsid w:val="0078483A"/>
    <w:rsid w:val="00785893"/>
    <w:rsid w:val="007862F8"/>
    <w:rsid w:val="00786325"/>
    <w:rsid w:val="00786395"/>
    <w:rsid w:val="00786D72"/>
    <w:rsid w:val="00787240"/>
    <w:rsid w:val="00787BE6"/>
    <w:rsid w:val="00787C8B"/>
    <w:rsid w:val="00790151"/>
    <w:rsid w:val="00790938"/>
    <w:rsid w:val="00790C72"/>
    <w:rsid w:val="00791180"/>
    <w:rsid w:val="00791E56"/>
    <w:rsid w:val="00792279"/>
    <w:rsid w:val="007923F4"/>
    <w:rsid w:val="007927E8"/>
    <w:rsid w:val="00792F4F"/>
    <w:rsid w:val="0079325B"/>
    <w:rsid w:val="007936CC"/>
    <w:rsid w:val="00793727"/>
    <w:rsid w:val="00793995"/>
    <w:rsid w:val="007943D4"/>
    <w:rsid w:val="007944B9"/>
    <w:rsid w:val="007944F7"/>
    <w:rsid w:val="007949A7"/>
    <w:rsid w:val="00794A8B"/>
    <w:rsid w:val="00794B00"/>
    <w:rsid w:val="00794C6D"/>
    <w:rsid w:val="00794E76"/>
    <w:rsid w:val="00794F7C"/>
    <w:rsid w:val="0079537F"/>
    <w:rsid w:val="007953F2"/>
    <w:rsid w:val="007956BB"/>
    <w:rsid w:val="00795CAA"/>
    <w:rsid w:val="007976FE"/>
    <w:rsid w:val="00797719"/>
    <w:rsid w:val="00797806"/>
    <w:rsid w:val="00797BDF"/>
    <w:rsid w:val="007A03FA"/>
    <w:rsid w:val="007A0D2B"/>
    <w:rsid w:val="007A1009"/>
    <w:rsid w:val="007A1453"/>
    <w:rsid w:val="007A1464"/>
    <w:rsid w:val="007A1787"/>
    <w:rsid w:val="007A17EA"/>
    <w:rsid w:val="007A185A"/>
    <w:rsid w:val="007A1A39"/>
    <w:rsid w:val="007A20A2"/>
    <w:rsid w:val="007A24CF"/>
    <w:rsid w:val="007A2D8A"/>
    <w:rsid w:val="007A3A95"/>
    <w:rsid w:val="007A3B6C"/>
    <w:rsid w:val="007A41BA"/>
    <w:rsid w:val="007A46EA"/>
    <w:rsid w:val="007A5323"/>
    <w:rsid w:val="007A576F"/>
    <w:rsid w:val="007A5B2B"/>
    <w:rsid w:val="007A5BEC"/>
    <w:rsid w:val="007A6B1E"/>
    <w:rsid w:val="007A6CA5"/>
    <w:rsid w:val="007A7B8F"/>
    <w:rsid w:val="007B049F"/>
    <w:rsid w:val="007B13D6"/>
    <w:rsid w:val="007B2425"/>
    <w:rsid w:val="007B25BE"/>
    <w:rsid w:val="007B25D1"/>
    <w:rsid w:val="007B3783"/>
    <w:rsid w:val="007B43DA"/>
    <w:rsid w:val="007B569B"/>
    <w:rsid w:val="007B56B4"/>
    <w:rsid w:val="007B62C4"/>
    <w:rsid w:val="007B63E6"/>
    <w:rsid w:val="007B64DD"/>
    <w:rsid w:val="007B6549"/>
    <w:rsid w:val="007B6A8E"/>
    <w:rsid w:val="007B6B92"/>
    <w:rsid w:val="007B6BDF"/>
    <w:rsid w:val="007B6F86"/>
    <w:rsid w:val="007B7485"/>
    <w:rsid w:val="007B79BE"/>
    <w:rsid w:val="007B7CC5"/>
    <w:rsid w:val="007C0458"/>
    <w:rsid w:val="007C0A68"/>
    <w:rsid w:val="007C0AFD"/>
    <w:rsid w:val="007C10AE"/>
    <w:rsid w:val="007C162B"/>
    <w:rsid w:val="007C1CE4"/>
    <w:rsid w:val="007C3B10"/>
    <w:rsid w:val="007C423D"/>
    <w:rsid w:val="007C5D9B"/>
    <w:rsid w:val="007C663A"/>
    <w:rsid w:val="007C69F4"/>
    <w:rsid w:val="007C7030"/>
    <w:rsid w:val="007C7034"/>
    <w:rsid w:val="007C74E9"/>
    <w:rsid w:val="007C79AF"/>
    <w:rsid w:val="007D0F28"/>
    <w:rsid w:val="007D12F6"/>
    <w:rsid w:val="007D1939"/>
    <w:rsid w:val="007D1E83"/>
    <w:rsid w:val="007D2D18"/>
    <w:rsid w:val="007D2E50"/>
    <w:rsid w:val="007D3EC0"/>
    <w:rsid w:val="007D4669"/>
    <w:rsid w:val="007D46DC"/>
    <w:rsid w:val="007D5B35"/>
    <w:rsid w:val="007D5D08"/>
    <w:rsid w:val="007D6F39"/>
    <w:rsid w:val="007D7752"/>
    <w:rsid w:val="007D7C53"/>
    <w:rsid w:val="007E03A3"/>
    <w:rsid w:val="007E0945"/>
    <w:rsid w:val="007E2043"/>
    <w:rsid w:val="007E2211"/>
    <w:rsid w:val="007E2728"/>
    <w:rsid w:val="007E3740"/>
    <w:rsid w:val="007E39A5"/>
    <w:rsid w:val="007E3CDA"/>
    <w:rsid w:val="007E4B36"/>
    <w:rsid w:val="007E5820"/>
    <w:rsid w:val="007E5BF7"/>
    <w:rsid w:val="007E6431"/>
    <w:rsid w:val="007E6D3D"/>
    <w:rsid w:val="007E6F7C"/>
    <w:rsid w:val="007E7061"/>
    <w:rsid w:val="007E718D"/>
    <w:rsid w:val="007E7514"/>
    <w:rsid w:val="007F0BD4"/>
    <w:rsid w:val="007F1D85"/>
    <w:rsid w:val="007F3206"/>
    <w:rsid w:val="007F3382"/>
    <w:rsid w:val="007F34D0"/>
    <w:rsid w:val="007F43DF"/>
    <w:rsid w:val="007F4AF7"/>
    <w:rsid w:val="007F527E"/>
    <w:rsid w:val="007F59BC"/>
    <w:rsid w:val="007F5BD8"/>
    <w:rsid w:val="007F6B72"/>
    <w:rsid w:val="007F6D7C"/>
    <w:rsid w:val="007F783D"/>
    <w:rsid w:val="007F7B25"/>
    <w:rsid w:val="007F7C26"/>
    <w:rsid w:val="007F7DAB"/>
    <w:rsid w:val="00800BAD"/>
    <w:rsid w:val="00800BEA"/>
    <w:rsid w:val="0080153F"/>
    <w:rsid w:val="00801BDA"/>
    <w:rsid w:val="00802623"/>
    <w:rsid w:val="00802900"/>
    <w:rsid w:val="0080298A"/>
    <w:rsid w:val="00802A85"/>
    <w:rsid w:val="00802B7B"/>
    <w:rsid w:val="00802CCA"/>
    <w:rsid w:val="00802EB1"/>
    <w:rsid w:val="00803039"/>
    <w:rsid w:val="00803EFE"/>
    <w:rsid w:val="00804239"/>
    <w:rsid w:val="008048CC"/>
    <w:rsid w:val="00804E44"/>
    <w:rsid w:val="00805EF1"/>
    <w:rsid w:val="008064B8"/>
    <w:rsid w:val="0080792B"/>
    <w:rsid w:val="00807CC6"/>
    <w:rsid w:val="00810617"/>
    <w:rsid w:val="008106F1"/>
    <w:rsid w:val="00810EDF"/>
    <w:rsid w:val="0081107F"/>
    <w:rsid w:val="008111B8"/>
    <w:rsid w:val="0081150F"/>
    <w:rsid w:val="00811765"/>
    <w:rsid w:val="00812773"/>
    <w:rsid w:val="00812C7A"/>
    <w:rsid w:val="008131F0"/>
    <w:rsid w:val="008132DA"/>
    <w:rsid w:val="0081422A"/>
    <w:rsid w:val="00815055"/>
    <w:rsid w:val="00815B8F"/>
    <w:rsid w:val="00815BC1"/>
    <w:rsid w:val="0081625E"/>
    <w:rsid w:val="00816360"/>
    <w:rsid w:val="0081646D"/>
    <w:rsid w:val="00816F59"/>
    <w:rsid w:val="0082032E"/>
    <w:rsid w:val="008203E9"/>
    <w:rsid w:val="0082044C"/>
    <w:rsid w:val="0082158A"/>
    <w:rsid w:val="008217F2"/>
    <w:rsid w:val="008219C9"/>
    <w:rsid w:val="00821BE3"/>
    <w:rsid w:val="008231ED"/>
    <w:rsid w:val="008234D6"/>
    <w:rsid w:val="00825036"/>
    <w:rsid w:val="00825775"/>
    <w:rsid w:val="00825995"/>
    <w:rsid w:val="00825D39"/>
    <w:rsid w:val="008306F9"/>
    <w:rsid w:val="00831CC7"/>
    <w:rsid w:val="00831D7A"/>
    <w:rsid w:val="00832185"/>
    <w:rsid w:val="008323CA"/>
    <w:rsid w:val="00832695"/>
    <w:rsid w:val="00832C84"/>
    <w:rsid w:val="00833198"/>
    <w:rsid w:val="008332B2"/>
    <w:rsid w:val="008334FA"/>
    <w:rsid w:val="0083392A"/>
    <w:rsid w:val="008340A8"/>
    <w:rsid w:val="008341D8"/>
    <w:rsid w:val="0083438A"/>
    <w:rsid w:val="00834B4A"/>
    <w:rsid w:val="00834B6C"/>
    <w:rsid w:val="0083607C"/>
    <w:rsid w:val="0083638D"/>
    <w:rsid w:val="008366D2"/>
    <w:rsid w:val="00836C4F"/>
    <w:rsid w:val="008370ED"/>
    <w:rsid w:val="008373BB"/>
    <w:rsid w:val="00837693"/>
    <w:rsid w:val="00837A78"/>
    <w:rsid w:val="00837F74"/>
    <w:rsid w:val="00840603"/>
    <w:rsid w:val="00840FEF"/>
    <w:rsid w:val="008413A7"/>
    <w:rsid w:val="0084218E"/>
    <w:rsid w:val="00842894"/>
    <w:rsid w:val="008434E8"/>
    <w:rsid w:val="00843B52"/>
    <w:rsid w:val="0084409A"/>
    <w:rsid w:val="00844F88"/>
    <w:rsid w:val="008465EF"/>
    <w:rsid w:val="0084684F"/>
    <w:rsid w:val="0084770C"/>
    <w:rsid w:val="00847769"/>
    <w:rsid w:val="00850262"/>
    <w:rsid w:val="00850888"/>
    <w:rsid w:val="00850CFD"/>
    <w:rsid w:val="00851428"/>
    <w:rsid w:val="00851604"/>
    <w:rsid w:val="008517E8"/>
    <w:rsid w:val="00852202"/>
    <w:rsid w:val="008533A7"/>
    <w:rsid w:val="00854432"/>
    <w:rsid w:val="00854BC1"/>
    <w:rsid w:val="0085568C"/>
    <w:rsid w:val="00855F1B"/>
    <w:rsid w:val="008562B9"/>
    <w:rsid w:val="008566EA"/>
    <w:rsid w:val="0085695A"/>
    <w:rsid w:val="008606B4"/>
    <w:rsid w:val="00860E33"/>
    <w:rsid w:val="008622E0"/>
    <w:rsid w:val="00862CAC"/>
    <w:rsid w:val="00863413"/>
    <w:rsid w:val="0086366F"/>
    <w:rsid w:val="00863FD0"/>
    <w:rsid w:val="00864493"/>
    <w:rsid w:val="00864AE8"/>
    <w:rsid w:val="00864EBF"/>
    <w:rsid w:val="00865218"/>
    <w:rsid w:val="008653FC"/>
    <w:rsid w:val="008659E5"/>
    <w:rsid w:val="00866806"/>
    <w:rsid w:val="00866999"/>
    <w:rsid w:val="0086751B"/>
    <w:rsid w:val="00867B58"/>
    <w:rsid w:val="00870FCF"/>
    <w:rsid w:val="008713AF"/>
    <w:rsid w:val="00871818"/>
    <w:rsid w:val="00871A55"/>
    <w:rsid w:val="00871A6D"/>
    <w:rsid w:val="0087298B"/>
    <w:rsid w:val="00873982"/>
    <w:rsid w:val="00874038"/>
    <w:rsid w:val="00874CBF"/>
    <w:rsid w:val="00874DFD"/>
    <w:rsid w:val="008760DD"/>
    <w:rsid w:val="008764BD"/>
    <w:rsid w:val="00876BB0"/>
    <w:rsid w:val="00876E35"/>
    <w:rsid w:val="008774D6"/>
    <w:rsid w:val="008776D4"/>
    <w:rsid w:val="00877ABC"/>
    <w:rsid w:val="00877CF6"/>
    <w:rsid w:val="00880343"/>
    <w:rsid w:val="00880618"/>
    <w:rsid w:val="00880D2A"/>
    <w:rsid w:val="00880DA0"/>
    <w:rsid w:val="00880F74"/>
    <w:rsid w:val="00881283"/>
    <w:rsid w:val="00881FD6"/>
    <w:rsid w:val="00883B98"/>
    <w:rsid w:val="00883E41"/>
    <w:rsid w:val="008840DE"/>
    <w:rsid w:val="008847F7"/>
    <w:rsid w:val="008849DF"/>
    <w:rsid w:val="00884D43"/>
    <w:rsid w:val="00885157"/>
    <w:rsid w:val="00885548"/>
    <w:rsid w:val="00885C2D"/>
    <w:rsid w:val="00885F87"/>
    <w:rsid w:val="008861A9"/>
    <w:rsid w:val="008861E3"/>
    <w:rsid w:val="0088657A"/>
    <w:rsid w:val="008872AE"/>
    <w:rsid w:val="00887E18"/>
    <w:rsid w:val="00890DC6"/>
    <w:rsid w:val="0089145A"/>
    <w:rsid w:val="00891BFE"/>
    <w:rsid w:val="00891D73"/>
    <w:rsid w:val="008926EC"/>
    <w:rsid w:val="00892AA4"/>
    <w:rsid w:val="008930DF"/>
    <w:rsid w:val="00893F9F"/>
    <w:rsid w:val="00894545"/>
    <w:rsid w:val="00895837"/>
    <w:rsid w:val="0089606B"/>
    <w:rsid w:val="008962A9"/>
    <w:rsid w:val="0089666E"/>
    <w:rsid w:val="00896F60"/>
    <w:rsid w:val="0089754D"/>
    <w:rsid w:val="008979A9"/>
    <w:rsid w:val="008A0AB2"/>
    <w:rsid w:val="008A144B"/>
    <w:rsid w:val="008A14E3"/>
    <w:rsid w:val="008A21D7"/>
    <w:rsid w:val="008A369A"/>
    <w:rsid w:val="008A392A"/>
    <w:rsid w:val="008A3C4E"/>
    <w:rsid w:val="008A49D1"/>
    <w:rsid w:val="008A4B02"/>
    <w:rsid w:val="008A54F0"/>
    <w:rsid w:val="008A5887"/>
    <w:rsid w:val="008A5F02"/>
    <w:rsid w:val="008A61CF"/>
    <w:rsid w:val="008A6353"/>
    <w:rsid w:val="008A6559"/>
    <w:rsid w:val="008A6698"/>
    <w:rsid w:val="008A715E"/>
    <w:rsid w:val="008A717A"/>
    <w:rsid w:val="008A7217"/>
    <w:rsid w:val="008A74CB"/>
    <w:rsid w:val="008A7AF7"/>
    <w:rsid w:val="008A7B45"/>
    <w:rsid w:val="008A7DA1"/>
    <w:rsid w:val="008B015A"/>
    <w:rsid w:val="008B0A1E"/>
    <w:rsid w:val="008B2A0A"/>
    <w:rsid w:val="008B2D64"/>
    <w:rsid w:val="008B39B4"/>
    <w:rsid w:val="008B3DA3"/>
    <w:rsid w:val="008B4C76"/>
    <w:rsid w:val="008B4DB3"/>
    <w:rsid w:val="008B522C"/>
    <w:rsid w:val="008B52FB"/>
    <w:rsid w:val="008B559B"/>
    <w:rsid w:val="008B5674"/>
    <w:rsid w:val="008B585F"/>
    <w:rsid w:val="008B58D0"/>
    <w:rsid w:val="008B5B9E"/>
    <w:rsid w:val="008B6251"/>
    <w:rsid w:val="008B63A4"/>
    <w:rsid w:val="008B666F"/>
    <w:rsid w:val="008B6824"/>
    <w:rsid w:val="008B695E"/>
    <w:rsid w:val="008B6AB4"/>
    <w:rsid w:val="008B6CD0"/>
    <w:rsid w:val="008B6CDC"/>
    <w:rsid w:val="008B70EC"/>
    <w:rsid w:val="008B7F0E"/>
    <w:rsid w:val="008C0337"/>
    <w:rsid w:val="008C117E"/>
    <w:rsid w:val="008C19B0"/>
    <w:rsid w:val="008C29E3"/>
    <w:rsid w:val="008C3420"/>
    <w:rsid w:val="008C3652"/>
    <w:rsid w:val="008C4133"/>
    <w:rsid w:val="008C42C0"/>
    <w:rsid w:val="008C4616"/>
    <w:rsid w:val="008C4912"/>
    <w:rsid w:val="008C4C66"/>
    <w:rsid w:val="008C4CE3"/>
    <w:rsid w:val="008C500F"/>
    <w:rsid w:val="008C51D7"/>
    <w:rsid w:val="008C526B"/>
    <w:rsid w:val="008C53D8"/>
    <w:rsid w:val="008C58C3"/>
    <w:rsid w:val="008C6CAA"/>
    <w:rsid w:val="008C6EAF"/>
    <w:rsid w:val="008C713C"/>
    <w:rsid w:val="008C7E20"/>
    <w:rsid w:val="008D040F"/>
    <w:rsid w:val="008D044E"/>
    <w:rsid w:val="008D0A35"/>
    <w:rsid w:val="008D0FB7"/>
    <w:rsid w:val="008D1794"/>
    <w:rsid w:val="008D223C"/>
    <w:rsid w:val="008D22E9"/>
    <w:rsid w:val="008D2BBD"/>
    <w:rsid w:val="008D2FA6"/>
    <w:rsid w:val="008D4817"/>
    <w:rsid w:val="008D4E35"/>
    <w:rsid w:val="008D5116"/>
    <w:rsid w:val="008D54EF"/>
    <w:rsid w:val="008D5D19"/>
    <w:rsid w:val="008D5F5F"/>
    <w:rsid w:val="008D634B"/>
    <w:rsid w:val="008D6793"/>
    <w:rsid w:val="008D69B4"/>
    <w:rsid w:val="008D70F0"/>
    <w:rsid w:val="008D7763"/>
    <w:rsid w:val="008D7D0F"/>
    <w:rsid w:val="008D7F83"/>
    <w:rsid w:val="008E074B"/>
    <w:rsid w:val="008E0B74"/>
    <w:rsid w:val="008E0C83"/>
    <w:rsid w:val="008E1545"/>
    <w:rsid w:val="008E15CB"/>
    <w:rsid w:val="008E1EE7"/>
    <w:rsid w:val="008E1F6F"/>
    <w:rsid w:val="008E202C"/>
    <w:rsid w:val="008E23C1"/>
    <w:rsid w:val="008E253F"/>
    <w:rsid w:val="008E2D65"/>
    <w:rsid w:val="008E2ED7"/>
    <w:rsid w:val="008E2F92"/>
    <w:rsid w:val="008E3F6E"/>
    <w:rsid w:val="008E4833"/>
    <w:rsid w:val="008E4EF5"/>
    <w:rsid w:val="008E5156"/>
    <w:rsid w:val="008E53A5"/>
    <w:rsid w:val="008E5D2F"/>
    <w:rsid w:val="008E712E"/>
    <w:rsid w:val="008F091F"/>
    <w:rsid w:val="008F10D0"/>
    <w:rsid w:val="008F2316"/>
    <w:rsid w:val="008F2BA1"/>
    <w:rsid w:val="008F2BCE"/>
    <w:rsid w:val="008F343A"/>
    <w:rsid w:val="008F41D9"/>
    <w:rsid w:val="008F427F"/>
    <w:rsid w:val="008F4300"/>
    <w:rsid w:val="008F4615"/>
    <w:rsid w:val="008F4759"/>
    <w:rsid w:val="008F4A4F"/>
    <w:rsid w:val="008F4BFD"/>
    <w:rsid w:val="008F4FA6"/>
    <w:rsid w:val="008F532C"/>
    <w:rsid w:val="008F5CC5"/>
    <w:rsid w:val="008F5D65"/>
    <w:rsid w:val="008F5FEC"/>
    <w:rsid w:val="008F6C77"/>
    <w:rsid w:val="008F71AE"/>
    <w:rsid w:val="008F732F"/>
    <w:rsid w:val="008F7901"/>
    <w:rsid w:val="00900628"/>
    <w:rsid w:val="0090255B"/>
    <w:rsid w:val="009025B5"/>
    <w:rsid w:val="0090266D"/>
    <w:rsid w:val="00903420"/>
    <w:rsid w:val="00903470"/>
    <w:rsid w:val="00903801"/>
    <w:rsid w:val="00903C7D"/>
    <w:rsid w:val="009045BB"/>
    <w:rsid w:val="0090580A"/>
    <w:rsid w:val="009059C9"/>
    <w:rsid w:val="0090653F"/>
    <w:rsid w:val="009069B0"/>
    <w:rsid w:val="009069E3"/>
    <w:rsid w:val="00906C67"/>
    <w:rsid w:val="00907516"/>
    <w:rsid w:val="009076EE"/>
    <w:rsid w:val="00907C5A"/>
    <w:rsid w:val="009109A1"/>
    <w:rsid w:val="00910C23"/>
    <w:rsid w:val="00910D82"/>
    <w:rsid w:val="009113C9"/>
    <w:rsid w:val="00911448"/>
    <w:rsid w:val="00911EBD"/>
    <w:rsid w:val="00912088"/>
    <w:rsid w:val="0091218F"/>
    <w:rsid w:val="00914DD0"/>
    <w:rsid w:val="00915AD4"/>
    <w:rsid w:val="00915B7E"/>
    <w:rsid w:val="00915FA4"/>
    <w:rsid w:val="009160AB"/>
    <w:rsid w:val="00916AB3"/>
    <w:rsid w:val="00917418"/>
    <w:rsid w:val="00917AEB"/>
    <w:rsid w:val="00920069"/>
    <w:rsid w:val="00920E4B"/>
    <w:rsid w:val="009212BE"/>
    <w:rsid w:val="0092263A"/>
    <w:rsid w:val="00922861"/>
    <w:rsid w:val="00922EB2"/>
    <w:rsid w:val="00923847"/>
    <w:rsid w:val="00923F9F"/>
    <w:rsid w:val="00925093"/>
    <w:rsid w:val="00925224"/>
    <w:rsid w:val="009253D4"/>
    <w:rsid w:val="00925603"/>
    <w:rsid w:val="00925AAB"/>
    <w:rsid w:val="00925B67"/>
    <w:rsid w:val="00925ED2"/>
    <w:rsid w:val="00926520"/>
    <w:rsid w:val="0092750F"/>
    <w:rsid w:val="00927552"/>
    <w:rsid w:val="00927D47"/>
    <w:rsid w:val="00927F4C"/>
    <w:rsid w:val="0093028A"/>
    <w:rsid w:val="0093067C"/>
    <w:rsid w:val="00930DA4"/>
    <w:rsid w:val="00931175"/>
    <w:rsid w:val="009315C9"/>
    <w:rsid w:val="00931933"/>
    <w:rsid w:val="00932684"/>
    <w:rsid w:val="00932C89"/>
    <w:rsid w:val="009340FB"/>
    <w:rsid w:val="0093427A"/>
    <w:rsid w:val="00934CD9"/>
    <w:rsid w:val="00934E92"/>
    <w:rsid w:val="0093549D"/>
    <w:rsid w:val="009354FC"/>
    <w:rsid w:val="00936547"/>
    <w:rsid w:val="0093688A"/>
    <w:rsid w:val="0093695C"/>
    <w:rsid w:val="00936CAE"/>
    <w:rsid w:val="009378D1"/>
    <w:rsid w:val="00937CE8"/>
    <w:rsid w:val="00937E8D"/>
    <w:rsid w:val="00940788"/>
    <w:rsid w:val="00941119"/>
    <w:rsid w:val="009418B2"/>
    <w:rsid w:val="009419CF"/>
    <w:rsid w:val="00941DE0"/>
    <w:rsid w:val="009420BE"/>
    <w:rsid w:val="00942711"/>
    <w:rsid w:val="00943464"/>
    <w:rsid w:val="00943A22"/>
    <w:rsid w:val="00944D14"/>
    <w:rsid w:val="00944D48"/>
    <w:rsid w:val="00944F1F"/>
    <w:rsid w:val="009451AA"/>
    <w:rsid w:val="0094597A"/>
    <w:rsid w:val="00945C64"/>
    <w:rsid w:val="00946462"/>
    <w:rsid w:val="00946FE0"/>
    <w:rsid w:val="0094709B"/>
    <w:rsid w:val="009477F4"/>
    <w:rsid w:val="00947A4F"/>
    <w:rsid w:val="00947BFC"/>
    <w:rsid w:val="00947D05"/>
    <w:rsid w:val="009505CC"/>
    <w:rsid w:val="00950651"/>
    <w:rsid w:val="009519E0"/>
    <w:rsid w:val="00953446"/>
    <w:rsid w:val="009544EB"/>
    <w:rsid w:val="00954597"/>
    <w:rsid w:val="009551CE"/>
    <w:rsid w:val="00955666"/>
    <w:rsid w:val="00955A88"/>
    <w:rsid w:val="00955B28"/>
    <w:rsid w:val="0095622F"/>
    <w:rsid w:val="0095650D"/>
    <w:rsid w:val="009568D9"/>
    <w:rsid w:val="00960335"/>
    <w:rsid w:val="00960388"/>
    <w:rsid w:val="009608E3"/>
    <w:rsid w:val="00960BE8"/>
    <w:rsid w:val="00960D25"/>
    <w:rsid w:val="00961E5D"/>
    <w:rsid w:val="0096250A"/>
    <w:rsid w:val="00962A32"/>
    <w:rsid w:val="00963040"/>
    <w:rsid w:val="0096357B"/>
    <w:rsid w:val="00963B70"/>
    <w:rsid w:val="00963C86"/>
    <w:rsid w:val="00964089"/>
    <w:rsid w:val="00964349"/>
    <w:rsid w:val="009644DB"/>
    <w:rsid w:val="00964555"/>
    <w:rsid w:val="009646E6"/>
    <w:rsid w:val="00964BAB"/>
    <w:rsid w:val="00965CA7"/>
    <w:rsid w:val="009663B3"/>
    <w:rsid w:val="009702C0"/>
    <w:rsid w:val="00971023"/>
    <w:rsid w:val="009716AC"/>
    <w:rsid w:val="00971A77"/>
    <w:rsid w:val="00971DE1"/>
    <w:rsid w:val="00971FF3"/>
    <w:rsid w:val="009725A7"/>
    <w:rsid w:val="00972982"/>
    <w:rsid w:val="00972FD5"/>
    <w:rsid w:val="00973091"/>
    <w:rsid w:val="00973327"/>
    <w:rsid w:val="009736B6"/>
    <w:rsid w:val="00973823"/>
    <w:rsid w:val="00973CF4"/>
    <w:rsid w:val="00974D5E"/>
    <w:rsid w:val="00974E22"/>
    <w:rsid w:val="00975406"/>
    <w:rsid w:val="009755BC"/>
    <w:rsid w:val="00976142"/>
    <w:rsid w:val="009776EA"/>
    <w:rsid w:val="00977F22"/>
    <w:rsid w:val="009804EE"/>
    <w:rsid w:val="0098214C"/>
    <w:rsid w:val="0098290B"/>
    <w:rsid w:val="009831FE"/>
    <w:rsid w:val="00983EC4"/>
    <w:rsid w:val="00983EF8"/>
    <w:rsid w:val="00983F41"/>
    <w:rsid w:val="00983FAF"/>
    <w:rsid w:val="00983FEF"/>
    <w:rsid w:val="009842B6"/>
    <w:rsid w:val="009844D0"/>
    <w:rsid w:val="00985FAE"/>
    <w:rsid w:val="00986169"/>
    <w:rsid w:val="0098675B"/>
    <w:rsid w:val="00986FC8"/>
    <w:rsid w:val="00987507"/>
    <w:rsid w:val="009875AB"/>
    <w:rsid w:val="009875C6"/>
    <w:rsid w:val="00987F25"/>
    <w:rsid w:val="00990C80"/>
    <w:rsid w:val="0099118B"/>
    <w:rsid w:val="009912CF"/>
    <w:rsid w:val="00991822"/>
    <w:rsid w:val="00991FD2"/>
    <w:rsid w:val="009923FB"/>
    <w:rsid w:val="0099274D"/>
    <w:rsid w:val="009933BB"/>
    <w:rsid w:val="009939D7"/>
    <w:rsid w:val="00993BA3"/>
    <w:rsid w:val="00993C74"/>
    <w:rsid w:val="009946A4"/>
    <w:rsid w:val="00994722"/>
    <w:rsid w:val="00994C20"/>
    <w:rsid w:val="00994E49"/>
    <w:rsid w:val="009950AE"/>
    <w:rsid w:val="0099513B"/>
    <w:rsid w:val="009954C9"/>
    <w:rsid w:val="0099558E"/>
    <w:rsid w:val="0099565C"/>
    <w:rsid w:val="009964E0"/>
    <w:rsid w:val="009966BC"/>
    <w:rsid w:val="00996C6F"/>
    <w:rsid w:val="009973A1"/>
    <w:rsid w:val="00997516"/>
    <w:rsid w:val="009976CD"/>
    <w:rsid w:val="0099771C"/>
    <w:rsid w:val="009A128C"/>
    <w:rsid w:val="009A255C"/>
    <w:rsid w:val="009A2591"/>
    <w:rsid w:val="009A2A61"/>
    <w:rsid w:val="009A33DE"/>
    <w:rsid w:val="009A37C9"/>
    <w:rsid w:val="009A467F"/>
    <w:rsid w:val="009A51DF"/>
    <w:rsid w:val="009A536E"/>
    <w:rsid w:val="009A58F7"/>
    <w:rsid w:val="009A5AAD"/>
    <w:rsid w:val="009A6CF9"/>
    <w:rsid w:val="009A6DDB"/>
    <w:rsid w:val="009B0AA3"/>
    <w:rsid w:val="009B118D"/>
    <w:rsid w:val="009B1C12"/>
    <w:rsid w:val="009B1D2F"/>
    <w:rsid w:val="009B29DC"/>
    <w:rsid w:val="009B2D7A"/>
    <w:rsid w:val="009B4E15"/>
    <w:rsid w:val="009B5D29"/>
    <w:rsid w:val="009B5FD3"/>
    <w:rsid w:val="009C0223"/>
    <w:rsid w:val="009C0469"/>
    <w:rsid w:val="009C04D0"/>
    <w:rsid w:val="009C24BC"/>
    <w:rsid w:val="009C2E3D"/>
    <w:rsid w:val="009C31A8"/>
    <w:rsid w:val="009C3833"/>
    <w:rsid w:val="009C387B"/>
    <w:rsid w:val="009C422D"/>
    <w:rsid w:val="009C4971"/>
    <w:rsid w:val="009C4AF3"/>
    <w:rsid w:val="009C4EB7"/>
    <w:rsid w:val="009C509C"/>
    <w:rsid w:val="009C5697"/>
    <w:rsid w:val="009C5D24"/>
    <w:rsid w:val="009C6496"/>
    <w:rsid w:val="009C6551"/>
    <w:rsid w:val="009C65FC"/>
    <w:rsid w:val="009C6652"/>
    <w:rsid w:val="009C6EE9"/>
    <w:rsid w:val="009C730B"/>
    <w:rsid w:val="009C7D74"/>
    <w:rsid w:val="009D0229"/>
    <w:rsid w:val="009D04B6"/>
    <w:rsid w:val="009D0988"/>
    <w:rsid w:val="009D0BBE"/>
    <w:rsid w:val="009D1308"/>
    <w:rsid w:val="009D25FA"/>
    <w:rsid w:val="009D2769"/>
    <w:rsid w:val="009D366D"/>
    <w:rsid w:val="009D3CE1"/>
    <w:rsid w:val="009D3DDE"/>
    <w:rsid w:val="009D3EBA"/>
    <w:rsid w:val="009D4D14"/>
    <w:rsid w:val="009D4E3F"/>
    <w:rsid w:val="009D60CB"/>
    <w:rsid w:val="009D64D2"/>
    <w:rsid w:val="009D6A3B"/>
    <w:rsid w:val="009D6F75"/>
    <w:rsid w:val="009D77A6"/>
    <w:rsid w:val="009E04D2"/>
    <w:rsid w:val="009E1272"/>
    <w:rsid w:val="009E1CE8"/>
    <w:rsid w:val="009E2970"/>
    <w:rsid w:val="009E38F1"/>
    <w:rsid w:val="009E4EB8"/>
    <w:rsid w:val="009E53F6"/>
    <w:rsid w:val="009E55CA"/>
    <w:rsid w:val="009E630C"/>
    <w:rsid w:val="009E675F"/>
    <w:rsid w:val="009E6B3B"/>
    <w:rsid w:val="009E6E6D"/>
    <w:rsid w:val="009E7A64"/>
    <w:rsid w:val="009F0324"/>
    <w:rsid w:val="009F09E0"/>
    <w:rsid w:val="009F1252"/>
    <w:rsid w:val="009F1C3A"/>
    <w:rsid w:val="009F2A2A"/>
    <w:rsid w:val="009F2DCB"/>
    <w:rsid w:val="009F40ED"/>
    <w:rsid w:val="009F47E8"/>
    <w:rsid w:val="009F5125"/>
    <w:rsid w:val="009F52A3"/>
    <w:rsid w:val="009F53FE"/>
    <w:rsid w:val="009F62F7"/>
    <w:rsid w:val="009F64D4"/>
    <w:rsid w:val="009F653B"/>
    <w:rsid w:val="009F69DE"/>
    <w:rsid w:val="009F70A0"/>
    <w:rsid w:val="009F779C"/>
    <w:rsid w:val="009F7E79"/>
    <w:rsid w:val="00A012B4"/>
    <w:rsid w:val="00A01484"/>
    <w:rsid w:val="00A02260"/>
    <w:rsid w:val="00A026FB"/>
    <w:rsid w:val="00A02A07"/>
    <w:rsid w:val="00A0312F"/>
    <w:rsid w:val="00A03306"/>
    <w:rsid w:val="00A037AF"/>
    <w:rsid w:val="00A03B10"/>
    <w:rsid w:val="00A049DF"/>
    <w:rsid w:val="00A04DE6"/>
    <w:rsid w:val="00A0547B"/>
    <w:rsid w:val="00A05835"/>
    <w:rsid w:val="00A05DA8"/>
    <w:rsid w:val="00A06070"/>
    <w:rsid w:val="00A063D7"/>
    <w:rsid w:val="00A06A31"/>
    <w:rsid w:val="00A07106"/>
    <w:rsid w:val="00A076D2"/>
    <w:rsid w:val="00A076DC"/>
    <w:rsid w:val="00A07917"/>
    <w:rsid w:val="00A107EF"/>
    <w:rsid w:val="00A10B9D"/>
    <w:rsid w:val="00A121E4"/>
    <w:rsid w:val="00A14BD0"/>
    <w:rsid w:val="00A14C9A"/>
    <w:rsid w:val="00A14CB3"/>
    <w:rsid w:val="00A1608C"/>
    <w:rsid w:val="00A16497"/>
    <w:rsid w:val="00A17021"/>
    <w:rsid w:val="00A17A28"/>
    <w:rsid w:val="00A17C70"/>
    <w:rsid w:val="00A203D8"/>
    <w:rsid w:val="00A20814"/>
    <w:rsid w:val="00A21810"/>
    <w:rsid w:val="00A21EE3"/>
    <w:rsid w:val="00A22524"/>
    <w:rsid w:val="00A22C00"/>
    <w:rsid w:val="00A231BB"/>
    <w:rsid w:val="00A23510"/>
    <w:rsid w:val="00A23CFE"/>
    <w:rsid w:val="00A242B7"/>
    <w:rsid w:val="00A24514"/>
    <w:rsid w:val="00A24DF5"/>
    <w:rsid w:val="00A27109"/>
    <w:rsid w:val="00A27117"/>
    <w:rsid w:val="00A272B9"/>
    <w:rsid w:val="00A275D1"/>
    <w:rsid w:val="00A30D27"/>
    <w:rsid w:val="00A312CA"/>
    <w:rsid w:val="00A31EBF"/>
    <w:rsid w:val="00A32611"/>
    <w:rsid w:val="00A32B50"/>
    <w:rsid w:val="00A332B3"/>
    <w:rsid w:val="00A3359B"/>
    <w:rsid w:val="00A33639"/>
    <w:rsid w:val="00A33703"/>
    <w:rsid w:val="00A33FDF"/>
    <w:rsid w:val="00A3584F"/>
    <w:rsid w:val="00A35B54"/>
    <w:rsid w:val="00A35D14"/>
    <w:rsid w:val="00A3603F"/>
    <w:rsid w:val="00A360E7"/>
    <w:rsid w:val="00A365C9"/>
    <w:rsid w:val="00A36648"/>
    <w:rsid w:val="00A36ECE"/>
    <w:rsid w:val="00A375C3"/>
    <w:rsid w:val="00A3771C"/>
    <w:rsid w:val="00A37D30"/>
    <w:rsid w:val="00A37F04"/>
    <w:rsid w:val="00A40C58"/>
    <w:rsid w:val="00A4133A"/>
    <w:rsid w:val="00A416B4"/>
    <w:rsid w:val="00A42723"/>
    <w:rsid w:val="00A4286C"/>
    <w:rsid w:val="00A42D66"/>
    <w:rsid w:val="00A43515"/>
    <w:rsid w:val="00A44695"/>
    <w:rsid w:val="00A44861"/>
    <w:rsid w:val="00A44F25"/>
    <w:rsid w:val="00A4505A"/>
    <w:rsid w:val="00A451B9"/>
    <w:rsid w:val="00A45219"/>
    <w:rsid w:val="00A45495"/>
    <w:rsid w:val="00A45B50"/>
    <w:rsid w:val="00A4647E"/>
    <w:rsid w:val="00A46C45"/>
    <w:rsid w:val="00A46EF4"/>
    <w:rsid w:val="00A470A0"/>
    <w:rsid w:val="00A47957"/>
    <w:rsid w:val="00A47966"/>
    <w:rsid w:val="00A479D8"/>
    <w:rsid w:val="00A47CBA"/>
    <w:rsid w:val="00A5010F"/>
    <w:rsid w:val="00A5042C"/>
    <w:rsid w:val="00A50455"/>
    <w:rsid w:val="00A50797"/>
    <w:rsid w:val="00A5082C"/>
    <w:rsid w:val="00A50D8D"/>
    <w:rsid w:val="00A51AFB"/>
    <w:rsid w:val="00A52270"/>
    <w:rsid w:val="00A5228D"/>
    <w:rsid w:val="00A52644"/>
    <w:rsid w:val="00A52677"/>
    <w:rsid w:val="00A529E9"/>
    <w:rsid w:val="00A52E66"/>
    <w:rsid w:val="00A547F4"/>
    <w:rsid w:val="00A54CB8"/>
    <w:rsid w:val="00A555EF"/>
    <w:rsid w:val="00A56650"/>
    <w:rsid w:val="00A575C5"/>
    <w:rsid w:val="00A57C78"/>
    <w:rsid w:val="00A601C1"/>
    <w:rsid w:val="00A6096B"/>
    <w:rsid w:val="00A611AD"/>
    <w:rsid w:val="00A619CF"/>
    <w:rsid w:val="00A61C3A"/>
    <w:rsid w:val="00A620E8"/>
    <w:rsid w:val="00A62726"/>
    <w:rsid w:val="00A62881"/>
    <w:rsid w:val="00A628C6"/>
    <w:rsid w:val="00A62BB7"/>
    <w:rsid w:val="00A62E89"/>
    <w:rsid w:val="00A630C4"/>
    <w:rsid w:val="00A63360"/>
    <w:rsid w:val="00A63509"/>
    <w:rsid w:val="00A63E3E"/>
    <w:rsid w:val="00A6458D"/>
    <w:rsid w:val="00A64F9D"/>
    <w:rsid w:val="00A6519F"/>
    <w:rsid w:val="00A652AF"/>
    <w:rsid w:val="00A6548B"/>
    <w:rsid w:val="00A65B90"/>
    <w:rsid w:val="00A6652E"/>
    <w:rsid w:val="00A66695"/>
    <w:rsid w:val="00A66794"/>
    <w:rsid w:val="00A67A7D"/>
    <w:rsid w:val="00A67F9B"/>
    <w:rsid w:val="00A703BF"/>
    <w:rsid w:val="00A70471"/>
    <w:rsid w:val="00A704AC"/>
    <w:rsid w:val="00A70928"/>
    <w:rsid w:val="00A70A61"/>
    <w:rsid w:val="00A722AC"/>
    <w:rsid w:val="00A7325D"/>
    <w:rsid w:val="00A73823"/>
    <w:rsid w:val="00A740E0"/>
    <w:rsid w:val="00A74397"/>
    <w:rsid w:val="00A74CFA"/>
    <w:rsid w:val="00A75864"/>
    <w:rsid w:val="00A7623D"/>
    <w:rsid w:val="00A762F8"/>
    <w:rsid w:val="00A765D2"/>
    <w:rsid w:val="00A77648"/>
    <w:rsid w:val="00A778AF"/>
    <w:rsid w:val="00A77BBB"/>
    <w:rsid w:val="00A802B2"/>
    <w:rsid w:val="00A80995"/>
    <w:rsid w:val="00A80D1D"/>
    <w:rsid w:val="00A83017"/>
    <w:rsid w:val="00A838A9"/>
    <w:rsid w:val="00A838D9"/>
    <w:rsid w:val="00A83B4D"/>
    <w:rsid w:val="00A83DE5"/>
    <w:rsid w:val="00A83F5C"/>
    <w:rsid w:val="00A84A27"/>
    <w:rsid w:val="00A8549F"/>
    <w:rsid w:val="00A854ED"/>
    <w:rsid w:val="00A86CCB"/>
    <w:rsid w:val="00A86F52"/>
    <w:rsid w:val="00A878F2"/>
    <w:rsid w:val="00A8790E"/>
    <w:rsid w:val="00A87A28"/>
    <w:rsid w:val="00A87EB8"/>
    <w:rsid w:val="00A90399"/>
    <w:rsid w:val="00A90751"/>
    <w:rsid w:val="00A90AAA"/>
    <w:rsid w:val="00A90D4D"/>
    <w:rsid w:val="00A91370"/>
    <w:rsid w:val="00A93338"/>
    <w:rsid w:val="00A936D9"/>
    <w:rsid w:val="00A937A6"/>
    <w:rsid w:val="00A94C76"/>
    <w:rsid w:val="00A96EE1"/>
    <w:rsid w:val="00A96FD4"/>
    <w:rsid w:val="00A97664"/>
    <w:rsid w:val="00A97E5E"/>
    <w:rsid w:val="00AA0121"/>
    <w:rsid w:val="00AA0461"/>
    <w:rsid w:val="00AA07E5"/>
    <w:rsid w:val="00AA08DC"/>
    <w:rsid w:val="00AA260F"/>
    <w:rsid w:val="00AA2C3F"/>
    <w:rsid w:val="00AA2E11"/>
    <w:rsid w:val="00AA2ED1"/>
    <w:rsid w:val="00AA34D6"/>
    <w:rsid w:val="00AA3F07"/>
    <w:rsid w:val="00AA416E"/>
    <w:rsid w:val="00AA4688"/>
    <w:rsid w:val="00AA4E5E"/>
    <w:rsid w:val="00AA4ED6"/>
    <w:rsid w:val="00AA5407"/>
    <w:rsid w:val="00AA546A"/>
    <w:rsid w:val="00AA5A4F"/>
    <w:rsid w:val="00AA62B1"/>
    <w:rsid w:val="00AA6810"/>
    <w:rsid w:val="00AA7497"/>
    <w:rsid w:val="00AA75E5"/>
    <w:rsid w:val="00AB019D"/>
    <w:rsid w:val="00AB0205"/>
    <w:rsid w:val="00AB02A7"/>
    <w:rsid w:val="00AB174E"/>
    <w:rsid w:val="00AB2088"/>
    <w:rsid w:val="00AB25D5"/>
    <w:rsid w:val="00AB2BED"/>
    <w:rsid w:val="00AB31E8"/>
    <w:rsid w:val="00AB49CF"/>
    <w:rsid w:val="00AB504F"/>
    <w:rsid w:val="00AB54D0"/>
    <w:rsid w:val="00AB576D"/>
    <w:rsid w:val="00AB5AE9"/>
    <w:rsid w:val="00AB5FA1"/>
    <w:rsid w:val="00AB726E"/>
    <w:rsid w:val="00AB767C"/>
    <w:rsid w:val="00AC01A0"/>
    <w:rsid w:val="00AC0473"/>
    <w:rsid w:val="00AC07F1"/>
    <w:rsid w:val="00AC196B"/>
    <w:rsid w:val="00AC1B2F"/>
    <w:rsid w:val="00AC207A"/>
    <w:rsid w:val="00AC2258"/>
    <w:rsid w:val="00AC2AC2"/>
    <w:rsid w:val="00AC3964"/>
    <w:rsid w:val="00AC3B0D"/>
    <w:rsid w:val="00AC3C36"/>
    <w:rsid w:val="00AC3EC7"/>
    <w:rsid w:val="00AC3FFC"/>
    <w:rsid w:val="00AC421D"/>
    <w:rsid w:val="00AC4385"/>
    <w:rsid w:val="00AC4CF1"/>
    <w:rsid w:val="00AC5D49"/>
    <w:rsid w:val="00AC60E7"/>
    <w:rsid w:val="00AC6174"/>
    <w:rsid w:val="00AC71E2"/>
    <w:rsid w:val="00AC7BB4"/>
    <w:rsid w:val="00AC7D29"/>
    <w:rsid w:val="00AC7D2F"/>
    <w:rsid w:val="00AD00CD"/>
    <w:rsid w:val="00AD0166"/>
    <w:rsid w:val="00AD01F5"/>
    <w:rsid w:val="00AD0A12"/>
    <w:rsid w:val="00AD2454"/>
    <w:rsid w:val="00AD2633"/>
    <w:rsid w:val="00AD2BE7"/>
    <w:rsid w:val="00AD2D51"/>
    <w:rsid w:val="00AD3062"/>
    <w:rsid w:val="00AD3111"/>
    <w:rsid w:val="00AD394B"/>
    <w:rsid w:val="00AD3C0D"/>
    <w:rsid w:val="00AD4BBC"/>
    <w:rsid w:val="00AD5298"/>
    <w:rsid w:val="00AD6637"/>
    <w:rsid w:val="00AD68CA"/>
    <w:rsid w:val="00AD73FF"/>
    <w:rsid w:val="00AD74ED"/>
    <w:rsid w:val="00AE0158"/>
    <w:rsid w:val="00AE025D"/>
    <w:rsid w:val="00AE2067"/>
    <w:rsid w:val="00AE2182"/>
    <w:rsid w:val="00AE25F9"/>
    <w:rsid w:val="00AE27A4"/>
    <w:rsid w:val="00AE27B7"/>
    <w:rsid w:val="00AE2DDC"/>
    <w:rsid w:val="00AE3005"/>
    <w:rsid w:val="00AE35F0"/>
    <w:rsid w:val="00AE4569"/>
    <w:rsid w:val="00AE48FA"/>
    <w:rsid w:val="00AE4A2D"/>
    <w:rsid w:val="00AE5768"/>
    <w:rsid w:val="00AE58AC"/>
    <w:rsid w:val="00AE5C43"/>
    <w:rsid w:val="00AE5DC1"/>
    <w:rsid w:val="00AE60AD"/>
    <w:rsid w:val="00AE6532"/>
    <w:rsid w:val="00AE7FA9"/>
    <w:rsid w:val="00AF01FC"/>
    <w:rsid w:val="00AF06A9"/>
    <w:rsid w:val="00AF11F2"/>
    <w:rsid w:val="00AF21D0"/>
    <w:rsid w:val="00AF2210"/>
    <w:rsid w:val="00AF2500"/>
    <w:rsid w:val="00AF2D96"/>
    <w:rsid w:val="00AF35CA"/>
    <w:rsid w:val="00AF3838"/>
    <w:rsid w:val="00AF3C1D"/>
    <w:rsid w:val="00AF3DE8"/>
    <w:rsid w:val="00AF418A"/>
    <w:rsid w:val="00AF4750"/>
    <w:rsid w:val="00AF478C"/>
    <w:rsid w:val="00AF4BBF"/>
    <w:rsid w:val="00AF5197"/>
    <w:rsid w:val="00AF64EB"/>
    <w:rsid w:val="00AF659B"/>
    <w:rsid w:val="00AF65A4"/>
    <w:rsid w:val="00AF684F"/>
    <w:rsid w:val="00AF77D9"/>
    <w:rsid w:val="00B00031"/>
    <w:rsid w:val="00B0011F"/>
    <w:rsid w:val="00B00859"/>
    <w:rsid w:val="00B00BBD"/>
    <w:rsid w:val="00B0129B"/>
    <w:rsid w:val="00B015CE"/>
    <w:rsid w:val="00B01940"/>
    <w:rsid w:val="00B01E5D"/>
    <w:rsid w:val="00B023E8"/>
    <w:rsid w:val="00B02DE4"/>
    <w:rsid w:val="00B03054"/>
    <w:rsid w:val="00B031F0"/>
    <w:rsid w:val="00B041E6"/>
    <w:rsid w:val="00B04511"/>
    <w:rsid w:val="00B04602"/>
    <w:rsid w:val="00B046A7"/>
    <w:rsid w:val="00B0496B"/>
    <w:rsid w:val="00B06163"/>
    <w:rsid w:val="00B0649D"/>
    <w:rsid w:val="00B07411"/>
    <w:rsid w:val="00B07552"/>
    <w:rsid w:val="00B0783C"/>
    <w:rsid w:val="00B07995"/>
    <w:rsid w:val="00B07D21"/>
    <w:rsid w:val="00B07D3A"/>
    <w:rsid w:val="00B10880"/>
    <w:rsid w:val="00B10EAF"/>
    <w:rsid w:val="00B1143D"/>
    <w:rsid w:val="00B11634"/>
    <w:rsid w:val="00B11BA4"/>
    <w:rsid w:val="00B11FCB"/>
    <w:rsid w:val="00B12177"/>
    <w:rsid w:val="00B126BE"/>
    <w:rsid w:val="00B132F9"/>
    <w:rsid w:val="00B13541"/>
    <w:rsid w:val="00B135BE"/>
    <w:rsid w:val="00B13694"/>
    <w:rsid w:val="00B136BC"/>
    <w:rsid w:val="00B1392D"/>
    <w:rsid w:val="00B13C3B"/>
    <w:rsid w:val="00B14BEA"/>
    <w:rsid w:val="00B14BFA"/>
    <w:rsid w:val="00B15057"/>
    <w:rsid w:val="00B15632"/>
    <w:rsid w:val="00B156B9"/>
    <w:rsid w:val="00B15B73"/>
    <w:rsid w:val="00B16D0A"/>
    <w:rsid w:val="00B16D42"/>
    <w:rsid w:val="00B1767C"/>
    <w:rsid w:val="00B17696"/>
    <w:rsid w:val="00B17D63"/>
    <w:rsid w:val="00B17DC3"/>
    <w:rsid w:val="00B17ECE"/>
    <w:rsid w:val="00B200B3"/>
    <w:rsid w:val="00B2026F"/>
    <w:rsid w:val="00B205A4"/>
    <w:rsid w:val="00B209C4"/>
    <w:rsid w:val="00B20F7A"/>
    <w:rsid w:val="00B219F1"/>
    <w:rsid w:val="00B21DA6"/>
    <w:rsid w:val="00B21F9B"/>
    <w:rsid w:val="00B22084"/>
    <w:rsid w:val="00B22244"/>
    <w:rsid w:val="00B22254"/>
    <w:rsid w:val="00B223DD"/>
    <w:rsid w:val="00B22CC4"/>
    <w:rsid w:val="00B233C9"/>
    <w:rsid w:val="00B23510"/>
    <w:rsid w:val="00B23899"/>
    <w:rsid w:val="00B23941"/>
    <w:rsid w:val="00B2416B"/>
    <w:rsid w:val="00B24368"/>
    <w:rsid w:val="00B24A1A"/>
    <w:rsid w:val="00B24C8E"/>
    <w:rsid w:val="00B24DD1"/>
    <w:rsid w:val="00B24DE0"/>
    <w:rsid w:val="00B24E62"/>
    <w:rsid w:val="00B26C34"/>
    <w:rsid w:val="00B26E14"/>
    <w:rsid w:val="00B26E41"/>
    <w:rsid w:val="00B27CAA"/>
    <w:rsid w:val="00B30A70"/>
    <w:rsid w:val="00B31BDA"/>
    <w:rsid w:val="00B3258F"/>
    <w:rsid w:val="00B32DD0"/>
    <w:rsid w:val="00B333F0"/>
    <w:rsid w:val="00B33DC8"/>
    <w:rsid w:val="00B351EF"/>
    <w:rsid w:val="00B3607E"/>
    <w:rsid w:val="00B3669E"/>
    <w:rsid w:val="00B369D7"/>
    <w:rsid w:val="00B37C7F"/>
    <w:rsid w:val="00B37DF1"/>
    <w:rsid w:val="00B4069C"/>
    <w:rsid w:val="00B407A6"/>
    <w:rsid w:val="00B407F3"/>
    <w:rsid w:val="00B4167F"/>
    <w:rsid w:val="00B417C9"/>
    <w:rsid w:val="00B41B51"/>
    <w:rsid w:val="00B4232F"/>
    <w:rsid w:val="00B42488"/>
    <w:rsid w:val="00B42501"/>
    <w:rsid w:val="00B4253D"/>
    <w:rsid w:val="00B4256E"/>
    <w:rsid w:val="00B42740"/>
    <w:rsid w:val="00B42B4A"/>
    <w:rsid w:val="00B42CA9"/>
    <w:rsid w:val="00B42DC9"/>
    <w:rsid w:val="00B4322A"/>
    <w:rsid w:val="00B4438F"/>
    <w:rsid w:val="00B4466D"/>
    <w:rsid w:val="00B45D3D"/>
    <w:rsid w:val="00B461C9"/>
    <w:rsid w:val="00B46446"/>
    <w:rsid w:val="00B46559"/>
    <w:rsid w:val="00B46BD5"/>
    <w:rsid w:val="00B471C2"/>
    <w:rsid w:val="00B47DF4"/>
    <w:rsid w:val="00B50164"/>
    <w:rsid w:val="00B509B0"/>
    <w:rsid w:val="00B51227"/>
    <w:rsid w:val="00B52C8E"/>
    <w:rsid w:val="00B5312A"/>
    <w:rsid w:val="00B53838"/>
    <w:rsid w:val="00B53E08"/>
    <w:rsid w:val="00B540CD"/>
    <w:rsid w:val="00B54717"/>
    <w:rsid w:val="00B549BF"/>
    <w:rsid w:val="00B54A4B"/>
    <w:rsid w:val="00B559A0"/>
    <w:rsid w:val="00B563C0"/>
    <w:rsid w:val="00B5642D"/>
    <w:rsid w:val="00B564CB"/>
    <w:rsid w:val="00B56550"/>
    <w:rsid w:val="00B567FD"/>
    <w:rsid w:val="00B56940"/>
    <w:rsid w:val="00B5753A"/>
    <w:rsid w:val="00B5760C"/>
    <w:rsid w:val="00B57EA7"/>
    <w:rsid w:val="00B57EF6"/>
    <w:rsid w:val="00B57F18"/>
    <w:rsid w:val="00B60175"/>
    <w:rsid w:val="00B604A1"/>
    <w:rsid w:val="00B61EC7"/>
    <w:rsid w:val="00B6239C"/>
    <w:rsid w:val="00B62677"/>
    <w:rsid w:val="00B6269C"/>
    <w:rsid w:val="00B62C2B"/>
    <w:rsid w:val="00B62DF8"/>
    <w:rsid w:val="00B62F06"/>
    <w:rsid w:val="00B633A2"/>
    <w:rsid w:val="00B65498"/>
    <w:rsid w:val="00B65565"/>
    <w:rsid w:val="00B65685"/>
    <w:rsid w:val="00B6587B"/>
    <w:rsid w:val="00B65BC5"/>
    <w:rsid w:val="00B65D08"/>
    <w:rsid w:val="00B66571"/>
    <w:rsid w:val="00B668B3"/>
    <w:rsid w:val="00B66FEC"/>
    <w:rsid w:val="00B67992"/>
    <w:rsid w:val="00B7069C"/>
    <w:rsid w:val="00B71274"/>
    <w:rsid w:val="00B712F4"/>
    <w:rsid w:val="00B71424"/>
    <w:rsid w:val="00B7185F"/>
    <w:rsid w:val="00B720EB"/>
    <w:rsid w:val="00B72842"/>
    <w:rsid w:val="00B73FCE"/>
    <w:rsid w:val="00B74094"/>
    <w:rsid w:val="00B74169"/>
    <w:rsid w:val="00B74219"/>
    <w:rsid w:val="00B74254"/>
    <w:rsid w:val="00B7448E"/>
    <w:rsid w:val="00B745E3"/>
    <w:rsid w:val="00B74E47"/>
    <w:rsid w:val="00B75967"/>
    <w:rsid w:val="00B762EE"/>
    <w:rsid w:val="00B771A3"/>
    <w:rsid w:val="00B77A21"/>
    <w:rsid w:val="00B77E14"/>
    <w:rsid w:val="00B801DB"/>
    <w:rsid w:val="00B80A00"/>
    <w:rsid w:val="00B814F9"/>
    <w:rsid w:val="00B82503"/>
    <w:rsid w:val="00B82559"/>
    <w:rsid w:val="00B829C6"/>
    <w:rsid w:val="00B82CF3"/>
    <w:rsid w:val="00B8356F"/>
    <w:rsid w:val="00B8384B"/>
    <w:rsid w:val="00B838C6"/>
    <w:rsid w:val="00B84A97"/>
    <w:rsid w:val="00B84F21"/>
    <w:rsid w:val="00B85ADF"/>
    <w:rsid w:val="00B86B7F"/>
    <w:rsid w:val="00B86FF4"/>
    <w:rsid w:val="00B87080"/>
    <w:rsid w:val="00B87192"/>
    <w:rsid w:val="00B87795"/>
    <w:rsid w:val="00B87798"/>
    <w:rsid w:val="00B87ADB"/>
    <w:rsid w:val="00B87DE3"/>
    <w:rsid w:val="00B908C4"/>
    <w:rsid w:val="00B91548"/>
    <w:rsid w:val="00B9176A"/>
    <w:rsid w:val="00B918BF"/>
    <w:rsid w:val="00B91A38"/>
    <w:rsid w:val="00B91CD0"/>
    <w:rsid w:val="00B9274C"/>
    <w:rsid w:val="00B927AC"/>
    <w:rsid w:val="00B92E8F"/>
    <w:rsid w:val="00B92F75"/>
    <w:rsid w:val="00B93444"/>
    <w:rsid w:val="00B93E38"/>
    <w:rsid w:val="00B94A26"/>
    <w:rsid w:val="00B94C96"/>
    <w:rsid w:val="00B94FD6"/>
    <w:rsid w:val="00B965FA"/>
    <w:rsid w:val="00B96B97"/>
    <w:rsid w:val="00B96BE4"/>
    <w:rsid w:val="00B96C3F"/>
    <w:rsid w:val="00B96E5C"/>
    <w:rsid w:val="00B96F45"/>
    <w:rsid w:val="00B97224"/>
    <w:rsid w:val="00B9743A"/>
    <w:rsid w:val="00B97C41"/>
    <w:rsid w:val="00BA01E8"/>
    <w:rsid w:val="00BA0471"/>
    <w:rsid w:val="00BA1980"/>
    <w:rsid w:val="00BA2254"/>
    <w:rsid w:val="00BA2E2C"/>
    <w:rsid w:val="00BA316B"/>
    <w:rsid w:val="00BA3900"/>
    <w:rsid w:val="00BA481E"/>
    <w:rsid w:val="00BA4955"/>
    <w:rsid w:val="00BA5294"/>
    <w:rsid w:val="00BA5325"/>
    <w:rsid w:val="00BA572C"/>
    <w:rsid w:val="00BA6EE3"/>
    <w:rsid w:val="00BA7778"/>
    <w:rsid w:val="00BA7CF6"/>
    <w:rsid w:val="00BB02C5"/>
    <w:rsid w:val="00BB0AC2"/>
    <w:rsid w:val="00BB3298"/>
    <w:rsid w:val="00BB34DD"/>
    <w:rsid w:val="00BB38FB"/>
    <w:rsid w:val="00BB3B0E"/>
    <w:rsid w:val="00BB5C9E"/>
    <w:rsid w:val="00BB5CBC"/>
    <w:rsid w:val="00BB680C"/>
    <w:rsid w:val="00BB6A01"/>
    <w:rsid w:val="00BC07E2"/>
    <w:rsid w:val="00BC0B49"/>
    <w:rsid w:val="00BC129B"/>
    <w:rsid w:val="00BC1FE7"/>
    <w:rsid w:val="00BC2038"/>
    <w:rsid w:val="00BC2512"/>
    <w:rsid w:val="00BC4335"/>
    <w:rsid w:val="00BC4790"/>
    <w:rsid w:val="00BC47D7"/>
    <w:rsid w:val="00BC50A8"/>
    <w:rsid w:val="00BC5BA4"/>
    <w:rsid w:val="00BC5D44"/>
    <w:rsid w:val="00BC635D"/>
    <w:rsid w:val="00BC66CA"/>
    <w:rsid w:val="00BC6A8D"/>
    <w:rsid w:val="00BC6CA6"/>
    <w:rsid w:val="00BC6FC0"/>
    <w:rsid w:val="00BD0035"/>
    <w:rsid w:val="00BD08E1"/>
    <w:rsid w:val="00BD1618"/>
    <w:rsid w:val="00BD193E"/>
    <w:rsid w:val="00BD1C6C"/>
    <w:rsid w:val="00BD270C"/>
    <w:rsid w:val="00BD2DA3"/>
    <w:rsid w:val="00BD303C"/>
    <w:rsid w:val="00BD3596"/>
    <w:rsid w:val="00BD39B2"/>
    <w:rsid w:val="00BD3BDE"/>
    <w:rsid w:val="00BD3C4C"/>
    <w:rsid w:val="00BD3F43"/>
    <w:rsid w:val="00BD439A"/>
    <w:rsid w:val="00BD467A"/>
    <w:rsid w:val="00BD4E0B"/>
    <w:rsid w:val="00BD508D"/>
    <w:rsid w:val="00BD61D3"/>
    <w:rsid w:val="00BD63E9"/>
    <w:rsid w:val="00BD6DF1"/>
    <w:rsid w:val="00BD7179"/>
    <w:rsid w:val="00BD7386"/>
    <w:rsid w:val="00BD7596"/>
    <w:rsid w:val="00BD7807"/>
    <w:rsid w:val="00BE1723"/>
    <w:rsid w:val="00BE19CA"/>
    <w:rsid w:val="00BE1FC8"/>
    <w:rsid w:val="00BE36D2"/>
    <w:rsid w:val="00BE38B4"/>
    <w:rsid w:val="00BE3C0F"/>
    <w:rsid w:val="00BE584F"/>
    <w:rsid w:val="00BE6158"/>
    <w:rsid w:val="00BE7525"/>
    <w:rsid w:val="00BE75EF"/>
    <w:rsid w:val="00BF012F"/>
    <w:rsid w:val="00BF0855"/>
    <w:rsid w:val="00BF0EED"/>
    <w:rsid w:val="00BF1BE0"/>
    <w:rsid w:val="00BF2DF7"/>
    <w:rsid w:val="00BF2EFC"/>
    <w:rsid w:val="00BF3A23"/>
    <w:rsid w:val="00BF5A6A"/>
    <w:rsid w:val="00BF5D77"/>
    <w:rsid w:val="00BF6237"/>
    <w:rsid w:val="00BF6B59"/>
    <w:rsid w:val="00BF6E53"/>
    <w:rsid w:val="00BF7CF5"/>
    <w:rsid w:val="00C001DF"/>
    <w:rsid w:val="00C0043E"/>
    <w:rsid w:val="00C010BD"/>
    <w:rsid w:val="00C012E5"/>
    <w:rsid w:val="00C01CE3"/>
    <w:rsid w:val="00C01F9D"/>
    <w:rsid w:val="00C032E1"/>
    <w:rsid w:val="00C03360"/>
    <w:rsid w:val="00C042DE"/>
    <w:rsid w:val="00C04360"/>
    <w:rsid w:val="00C045DB"/>
    <w:rsid w:val="00C04C1C"/>
    <w:rsid w:val="00C04E27"/>
    <w:rsid w:val="00C0512A"/>
    <w:rsid w:val="00C06460"/>
    <w:rsid w:val="00C069AB"/>
    <w:rsid w:val="00C06D29"/>
    <w:rsid w:val="00C07649"/>
    <w:rsid w:val="00C07D35"/>
    <w:rsid w:val="00C102E2"/>
    <w:rsid w:val="00C103ED"/>
    <w:rsid w:val="00C1049C"/>
    <w:rsid w:val="00C11143"/>
    <w:rsid w:val="00C117A1"/>
    <w:rsid w:val="00C121B7"/>
    <w:rsid w:val="00C12769"/>
    <w:rsid w:val="00C12DE0"/>
    <w:rsid w:val="00C134CB"/>
    <w:rsid w:val="00C1577B"/>
    <w:rsid w:val="00C1589D"/>
    <w:rsid w:val="00C159B3"/>
    <w:rsid w:val="00C162FD"/>
    <w:rsid w:val="00C171A5"/>
    <w:rsid w:val="00C172A9"/>
    <w:rsid w:val="00C173FC"/>
    <w:rsid w:val="00C179DD"/>
    <w:rsid w:val="00C17C1D"/>
    <w:rsid w:val="00C17F6C"/>
    <w:rsid w:val="00C20396"/>
    <w:rsid w:val="00C204CA"/>
    <w:rsid w:val="00C21155"/>
    <w:rsid w:val="00C22A97"/>
    <w:rsid w:val="00C231B8"/>
    <w:rsid w:val="00C233A1"/>
    <w:rsid w:val="00C233CD"/>
    <w:rsid w:val="00C2341B"/>
    <w:rsid w:val="00C245CA"/>
    <w:rsid w:val="00C247AE"/>
    <w:rsid w:val="00C24A79"/>
    <w:rsid w:val="00C24DD4"/>
    <w:rsid w:val="00C24EF2"/>
    <w:rsid w:val="00C25BC8"/>
    <w:rsid w:val="00C25ECC"/>
    <w:rsid w:val="00C26353"/>
    <w:rsid w:val="00C26594"/>
    <w:rsid w:val="00C26B09"/>
    <w:rsid w:val="00C2771B"/>
    <w:rsid w:val="00C27ACB"/>
    <w:rsid w:val="00C305A6"/>
    <w:rsid w:val="00C3100F"/>
    <w:rsid w:val="00C31365"/>
    <w:rsid w:val="00C3167F"/>
    <w:rsid w:val="00C322FD"/>
    <w:rsid w:val="00C32939"/>
    <w:rsid w:val="00C32E86"/>
    <w:rsid w:val="00C33673"/>
    <w:rsid w:val="00C338C7"/>
    <w:rsid w:val="00C33CD2"/>
    <w:rsid w:val="00C33EE8"/>
    <w:rsid w:val="00C34065"/>
    <w:rsid w:val="00C3432A"/>
    <w:rsid w:val="00C34EC6"/>
    <w:rsid w:val="00C35C7B"/>
    <w:rsid w:val="00C3641F"/>
    <w:rsid w:val="00C36676"/>
    <w:rsid w:val="00C369C1"/>
    <w:rsid w:val="00C40563"/>
    <w:rsid w:val="00C40951"/>
    <w:rsid w:val="00C4095B"/>
    <w:rsid w:val="00C40C57"/>
    <w:rsid w:val="00C40E28"/>
    <w:rsid w:val="00C41644"/>
    <w:rsid w:val="00C418B7"/>
    <w:rsid w:val="00C41BEC"/>
    <w:rsid w:val="00C42478"/>
    <w:rsid w:val="00C42501"/>
    <w:rsid w:val="00C427AB"/>
    <w:rsid w:val="00C42D65"/>
    <w:rsid w:val="00C440C2"/>
    <w:rsid w:val="00C44217"/>
    <w:rsid w:val="00C44332"/>
    <w:rsid w:val="00C445AA"/>
    <w:rsid w:val="00C4564B"/>
    <w:rsid w:val="00C46380"/>
    <w:rsid w:val="00C4653B"/>
    <w:rsid w:val="00C46CE1"/>
    <w:rsid w:val="00C46CE5"/>
    <w:rsid w:val="00C470AB"/>
    <w:rsid w:val="00C47312"/>
    <w:rsid w:val="00C4754C"/>
    <w:rsid w:val="00C47BED"/>
    <w:rsid w:val="00C47D8E"/>
    <w:rsid w:val="00C47F17"/>
    <w:rsid w:val="00C50BA2"/>
    <w:rsid w:val="00C50D7F"/>
    <w:rsid w:val="00C50F79"/>
    <w:rsid w:val="00C51CD7"/>
    <w:rsid w:val="00C51FCB"/>
    <w:rsid w:val="00C535F4"/>
    <w:rsid w:val="00C53E34"/>
    <w:rsid w:val="00C54AAC"/>
    <w:rsid w:val="00C54FF2"/>
    <w:rsid w:val="00C5533B"/>
    <w:rsid w:val="00C5533C"/>
    <w:rsid w:val="00C55510"/>
    <w:rsid w:val="00C556AF"/>
    <w:rsid w:val="00C56CAE"/>
    <w:rsid w:val="00C57006"/>
    <w:rsid w:val="00C5708A"/>
    <w:rsid w:val="00C573D2"/>
    <w:rsid w:val="00C574CA"/>
    <w:rsid w:val="00C60913"/>
    <w:rsid w:val="00C6104D"/>
    <w:rsid w:val="00C6113D"/>
    <w:rsid w:val="00C63183"/>
    <w:rsid w:val="00C6332A"/>
    <w:rsid w:val="00C63788"/>
    <w:rsid w:val="00C6392A"/>
    <w:rsid w:val="00C63E35"/>
    <w:rsid w:val="00C646F7"/>
    <w:rsid w:val="00C64B5D"/>
    <w:rsid w:val="00C650DD"/>
    <w:rsid w:val="00C659D2"/>
    <w:rsid w:val="00C66D3B"/>
    <w:rsid w:val="00C66E74"/>
    <w:rsid w:val="00C673E6"/>
    <w:rsid w:val="00C678AC"/>
    <w:rsid w:val="00C67BB7"/>
    <w:rsid w:val="00C7013E"/>
    <w:rsid w:val="00C70E56"/>
    <w:rsid w:val="00C70EEE"/>
    <w:rsid w:val="00C712C8"/>
    <w:rsid w:val="00C71976"/>
    <w:rsid w:val="00C71AA9"/>
    <w:rsid w:val="00C71C27"/>
    <w:rsid w:val="00C71CC6"/>
    <w:rsid w:val="00C72194"/>
    <w:rsid w:val="00C72B7B"/>
    <w:rsid w:val="00C72E27"/>
    <w:rsid w:val="00C73076"/>
    <w:rsid w:val="00C731A2"/>
    <w:rsid w:val="00C7394C"/>
    <w:rsid w:val="00C73C10"/>
    <w:rsid w:val="00C73EBF"/>
    <w:rsid w:val="00C74426"/>
    <w:rsid w:val="00C74876"/>
    <w:rsid w:val="00C7499C"/>
    <w:rsid w:val="00C74D54"/>
    <w:rsid w:val="00C76AD6"/>
    <w:rsid w:val="00C76DED"/>
    <w:rsid w:val="00C76F52"/>
    <w:rsid w:val="00C80B18"/>
    <w:rsid w:val="00C8142D"/>
    <w:rsid w:val="00C82743"/>
    <w:rsid w:val="00C82A1B"/>
    <w:rsid w:val="00C830B6"/>
    <w:rsid w:val="00C838FF"/>
    <w:rsid w:val="00C842D7"/>
    <w:rsid w:val="00C858C2"/>
    <w:rsid w:val="00C86255"/>
    <w:rsid w:val="00C868B8"/>
    <w:rsid w:val="00C871C6"/>
    <w:rsid w:val="00C872D9"/>
    <w:rsid w:val="00C878D3"/>
    <w:rsid w:val="00C879DD"/>
    <w:rsid w:val="00C87A60"/>
    <w:rsid w:val="00C90CA4"/>
    <w:rsid w:val="00C90D66"/>
    <w:rsid w:val="00C918AE"/>
    <w:rsid w:val="00C91E5C"/>
    <w:rsid w:val="00C9280D"/>
    <w:rsid w:val="00C92F95"/>
    <w:rsid w:val="00C93317"/>
    <w:rsid w:val="00C934F6"/>
    <w:rsid w:val="00C94682"/>
    <w:rsid w:val="00C94C74"/>
    <w:rsid w:val="00C94F79"/>
    <w:rsid w:val="00C9641E"/>
    <w:rsid w:val="00C96A0A"/>
    <w:rsid w:val="00C96DE5"/>
    <w:rsid w:val="00C97516"/>
    <w:rsid w:val="00CA0036"/>
    <w:rsid w:val="00CA0780"/>
    <w:rsid w:val="00CA105A"/>
    <w:rsid w:val="00CA20BD"/>
    <w:rsid w:val="00CA286E"/>
    <w:rsid w:val="00CA2F3F"/>
    <w:rsid w:val="00CA3098"/>
    <w:rsid w:val="00CA320F"/>
    <w:rsid w:val="00CA3E12"/>
    <w:rsid w:val="00CA4CA0"/>
    <w:rsid w:val="00CA6199"/>
    <w:rsid w:val="00CA6BDF"/>
    <w:rsid w:val="00CA6C00"/>
    <w:rsid w:val="00CA729F"/>
    <w:rsid w:val="00CB0016"/>
    <w:rsid w:val="00CB0B88"/>
    <w:rsid w:val="00CB1178"/>
    <w:rsid w:val="00CB19B4"/>
    <w:rsid w:val="00CB1D94"/>
    <w:rsid w:val="00CB1E4E"/>
    <w:rsid w:val="00CB1F73"/>
    <w:rsid w:val="00CB24CD"/>
    <w:rsid w:val="00CB257B"/>
    <w:rsid w:val="00CB27E7"/>
    <w:rsid w:val="00CB2869"/>
    <w:rsid w:val="00CB43AA"/>
    <w:rsid w:val="00CB46B4"/>
    <w:rsid w:val="00CB4A6C"/>
    <w:rsid w:val="00CB4CE7"/>
    <w:rsid w:val="00CB4D72"/>
    <w:rsid w:val="00CB54C8"/>
    <w:rsid w:val="00CB5ADD"/>
    <w:rsid w:val="00CB7150"/>
    <w:rsid w:val="00CB7849"/>
    <w:rsid w:val="00CC0CBF"/>
    <w:rsid w:val="00CC0FD0"/>
    <w:rsid w:val="00CC1835"/>
    <w:rsid w:val="00CC2166"/>
    <w:rsid w:val="00CC21DE"/>
    <w:rsid w:val="00CC2510"/>
    <w:rsid w:val="00CC2635"/>
    <w:rsid w:val="00CC286F"/>
    <w:rsid w:val="00CC3E06"/>
    <w:rsid w:val="00CC5E20"/>
    <w:rsid w:val="00CC5F1E"/>
    <w:rsid w:val="00CC6224"/>
    <w:rsid w:val="00CC67BB"/>
    <w:rsid w:val="00CC6B04"/>
    <w:rsid w:val="00CC76D2"/>
    <w:rsid w:val="00CC772A"/>
    <w:rsid w:val="00CC7752"/>
    <w:rsid w:val="00CC7D5E"/>
    <w:rsid w:val="00CD00B8"/>
    <w:rsid w:val="00CD0388"/>
    <w:rsid w:val="00CD0415"/>
    <w:rsid w:val="00CD059B"/>
    <w:rsid w:val="00CD09A7"/>
    <w:rsid w:val="00CD0F0B"/>
    <w:rsid w:val="00CD1630"/>
    <w:rsid w:val="00CD3528"/>
    <w:rsid w:val="00CD3796"/>
    <w:rsid w:val="00CD43FB"/>
    <w:rsid w:val="00CD45AC"/>
    <w:rsid w:val="00CD4A7E"/>
    <w:rsid w:val="00CD4BBF"/>
    <w:rsid w:val="00CD4C7B"/>
    <w:rsid w:val="00CD4D73"/>
    <w:rsid w:val="00CD4D7F"/>
    <w:rsid w:val="00CD53B2"/>
    <w:rsid w:val="00CD7121"/>
    <w:rsid w:val="00CD7B19"/>
    <w:rsid w:val="00CE08C2"/>
    <w:rsid w:val="00CE0A9B"/>
    <w:rsid w:val="00CE1A04"/>
    <w:rsid w:val="00CE1D04"/>
    <w:rsid w:val="00CE227D"/>
    <w:rsid w:val="00CE2836"/>
    <w:rsid w:val="00CE3166"/>
    <w:rsid w:val="00CE3603"/>
    <w:rsid w:val="00CE4A5B"/>
    <w:rsid w:val="00CE4BAC"/>
    <w:rsid w:val="00CE4FBA"/>
    <w:rsid w:val="00CE508D"/>
    <w:rsid w:val="00CE53EF"/>
    <w:rsid w:val="00CE5538"/>
    <w:rsid w:val="00CE6472"/>
    <w:rsid w:val="00CE6FF4"/>
    <w:rsid w:val="00CE7538"/>
    <w:rsid w:val="00CF0167"/>
    <w:rsid w:val="00CF0318"/>
    <w:rsid w:val="00CF23A8"/>
    <w:rsid w:val="00CF2974"/>
    <w:rsid w:val="00CF333D"/>
    <w:rsid w:val="00CF3927"/>
    <w:rsid w:val="00CF3BD4"/>
    <w:rsid w:val="00CF3CA7"/>
    <w:rsid w:val="00CF4309"/>
    <w:rsid w:val="00CF4446"/>
    <w:rsid w:val="00CF45D2"/>
    <w:rsid w:val="00CF4AB6"/>
    <w:rsid w:val="00CF527D"/>
    <w:rsid w:val="00CF582E"/>
    <w:rsid w:val="00CF6D4A"/>
    <w:rsid w:val="00CF780D"/>
    <w:rsid w:val="00CF79C1"/>
    <w:rsid w:val="00D00A19"/>
    <w:rsid w:val="00D00ACA"/>
    <w:rsid w:val="00D01325"/>
    <w:rsid w:val="00D015DE"/>
    <w:rsid w:val="00D01AD0"/>
    <w:rsid w:val="00D01AD6"/>
    <w:rsid w:val="00D01E01"/>
    <w:rsid w:val="00D02061"/>
    <w:rsid w:val="00D02149"/>
    <w:rsid w:val="00D021F9"/>
    <w:rsid w:val="00D028B1"/>
    <w:rsid w:val="00D02D3D"/>
    <w:rsid w:val="00D02E9C"/>
    <w:rsid w:val="00D03FB1"/>
    <w:rsid w:val="00D041AF"/>
    <w:rsid w:val="00D05BEF"/>
    <w:rsid w:val="00D072ED"/>
    <w:rsid w:val="00D07FF7"/>
    <w:rsid w:val="00D104F2"/>
    <w:rsid w:val="00D1090F"/>
    <w:rsid w:val="00D10F3C"/>
    <w:rsid w:val="00D112D1"/>
    <w:rsid w:val="00D11405"/>
    <w:rsid w:val="00D1242E"/>
    <w:rsid w:val="00D12E86"/>
    <w:rsid w:val="00D12F70"/>
    <w:rsid w:val="00D13BAE"/>
    <w:rsid w:val="00D15235"/>
    <w:rsid w:val="00D15350"/>
    <w:rsid w:val="00D15930"/>
    <w:rsid w:val="00D159E5"/>
    <w:rsid w:val="00D1662C"/>
    <w:rsid w:val="00D16716"/>
    <w:rsid w:val="00D16D95"/>
    <w:rsid w:val="00D179A5"/>
    <w:rsid w:val="00D17BA1"/>
    <w:rsid w:val="00D203DD"/>
    <w:rsid w:val="00D21120"/>
    <w:rsid w:val="00D2127A"/>
    <w:rsid w:val="00D213F9"/>
    <w:rsid w:val="00D21538"/>
    <w:rsid w:val="00D216E7"/>
    <w:rsid w:val="00D218AB"/>
    <w:rsid w:val="00D22433"/>
    <w:rsid w:val="00D22DF3"/>
    <w:rsid w:val="00D2310E"/>
    <w:rsid w:val="00D2339D"/>
    <w:rsid w:val="00D2350D"/>
    <w:rsid w:val="00D243B6"/>
    <w:rsid w:val="00D264CD"/>
    <w:rsid w:val="00D267DD"/>
    <w:rsid w:val="00D26E7B"/>
    <w:rsid w:val="00D26ED9"/>
    <w:rsid w:val="00D27743"/>
    <w:rsid w:val="00D27A79"/>
    <w:rsid w:val="00D301BA"/>
    <w:rsid w:val="00D306F2"/>
    <w:rsid w:val="00D30866"/>
    <w:rsid w:val="00D3099B"/>
    <w:rsid w:val="00D31265"/>
    <w:rsid w:val="00D31BAC"/>
    <w:rsid w:val="00D31C13"/>
    <w:rsid w:val="00D32188"/>
    <w:rsid w:val="00D32483"/>
    <w:rsid w:val="00D33474"/>
    <w:rsid w:val="00D3360B"/>
    <w:rsid w:val="00D344BB"/>
    <w:rsid w:val="00D35273"/>
    <w:rsid w:val="00D354BB"/>
    <w:rsid w:val="00D35AB6"/>
    <w:rsid w:val="00D36176"/>
    <w:rsid w:val="00D36720"/>
    <w:rsid w:val="00D36A0A"/>
    <w:rsid w:val="00D37020"/>
    <w:rsid w:val="00D37AC4"/>
    <w:rsid w:val="00D40129"/>
    <w:rsid w:val="00D40833"/>
    <w:rsid w:val="00D409F3"/>
    <w:rsid w:val="00D40E81"/>
    <w:rsid w:val="00D417B9"/>
    <w:rsid w:val="00D42BCF"/>
    <w:rsid w:val="00D43705"/>
    <w:rsid w:val="00D44309"/>
    <w:rsid w:val="00D446F0"/>
    <w:rsid w:val="00D44D62"/>
    <w:rsid w:val="00D45BAD"/>
    <w:rsid w:val="00D46209"/>
    <w:rsid w:val="00D4668C"/>
    <w:rsid w:val="00D467B4"/>
    <w:rsid w:val="00D46EF6"/>
    <w:rsid w:val="00D476AC"/>
    <w:rsid w:val="00D50625"/>
    <w:rsid w:val="00D52486"/>
    <w:rsid w:val="00D52F56"/>
    <w:rsid w:val="00D533BA"/>
    <w:rsid w:val="00D538E1"/>
    <w:rsid w:val="00D54057"/>
    <w:rsid w:val="00D5609F"/>
    <w:rsid w:val="00D56DDB"/>
    <w:rsid w:val="00D5749B"/>
    <w:rsid w:val="00D575F8"/>
    <w:rsid w:val="00D575FF"/>
    <w:rsid w:val="00D57686"/>
    <w:rsid w:val="00D576BB"/>
    <w:rsid w:val="00D57904"/>
    <w:rsid w:val="00D57D9F"/>
    <w:rsid w:val="00D57E0F"/>
    <w:rsid w:val="00D60686"/>
    <w:rsid w:val="00D60D6A"/>
    <w:rsid w:val="00D615AC"/>
    <w:rsid w:val="00D6188D"/>
    <w:rsid w:val="00D618EA"/>
    <w:rsid w:val="00D61900"/>
    <w:rsid w:val="00D61909"/>
    <w:rsid w:val="00D61ADF"/>
    <w:rsid w:val="00D6214B"/>
    <w:rsid w:val="00D62522"/>
    <w:rsid w:val="00D62AF2"/>
    <w:rsid w:val="00D6360A"/>
    <w:rsid w:val="00D63F86"/>
    <w:rsid w:val="00D6460A"/>
    <w:rsid w:val="00D64667"/>
    <w:rsid w:val="00D6564F"/>
    <w:rsid w:val="00D6594A"/>
    <w:rsid w:val="00D65990"/>
    <w:rsid w:val="00D65E1F"/>
    <w:rsid w:val="00D660D3"/>
    <w:rsid w:val="00D67848"/>
    <w:rsid w:val="00D679C9"/>
    <w:rsid w:val="00D67AE2"/>
    <w:rsid w:val="00D70141"/>
    <w:rsid w:val="00D70293"/>
    <w:rsid w:val="00D706C0"/>
    <w:rsid w:val="00D707FE"/>
    <w:rsid w:val="00D70D5F"/>
    <w:rsid w:val="00D70E08"/>
    <w:rsid w:val="00D711A0"/>
    <w:rsid w:val="00D713B9"/>
    <w:rsid w:val="00D72451"/>
    <w:rsid w:val="00D72510"/>
    <w:rsid w:val="00D72F5C"/>
    <w:rsid w:val="00D739E6"/>
    <w:rsid w:val="00D743F0"/>
    <w:rsid w:val="00D75414"/>
    <w:rsid w:val="00D75425"/>
    <w:rsid w:val="00D7625D"/>
    <w:rsid w:val="00D76A39"/>
    <w:rsid w:val="00D76AF7"/>
    <w:rsid w:val="00D77324"/>
    <w:rsid w:val="00D77DD1"/>
    <w:rsid w:val="00D77F83"/>
    <w:rsid w:val="00D803DA"/>
    <w:rsid w:val="00D809A7"/>
    <w:rsid w:val="00D81E66"/>
    <w:rsid w:val="00D81E82"/>
    <w:rsid w:val="00D82270"/>
    <w:rsid w:val="00D82297"/>
    <w:rsid w:val="00D82D60"/>
    <w:rsid w:val="00D85349"/>
    <w:rsid w:val="00D85850"/>
    <w:rsid w:val="00D877A0"/>
    <w:rsid w:val="00D87CD6"/>
    <w:rsid w:val="00D87F84"/>
    <w:rsid w:val="00D87FE1"/>
    <w:rsid w:val="00D905FC"/>
    <w:rsid w:val="00D90B6E"/>
    <w:rsid w:val="00D90C15"/>
    <w:rsid w:val="00D90EB7"/>
    <w:rsid w:val="00D91021"/>
    <w:rsid w:val="00D91061"/>
    <w:rsid w:val="00D919C4"/>
    <w:rsid w:val="00D9228F"/>
    <w:rsid w:val="00D924A7"/>
    <w:rsid w:val="00D924E8"/>
    <w:rsid w:val="00D924F1"/>
    <w:rsid w:val="00D92613"/>
    <w:rsid w:val="00D9270D"/>
    <w:rsid w:val="00D9356D"/>
    <w:rsid w:val="00D93C70"/>
    <w:rsid w:val="00D93DA9"/>
    <w:rsid w:val="00D9488D"/>
    <w:rsid w:val="00D94DB5"/>
    <w:rsid w:val="00D951DD"/>
    <w:rsid w:val="00D95EB6"/>
    <w:rsid w:val="00D96764"/>
    <w:rsid w:val="00D97082"/>
    <w:rsid w:val="00D970CF"/>
    <w:rsid w:val="00D97501"/>
    <w:rsid w:val="00D97867"/>
    <w:rsid w:val="00D97C91"/>
    <w:rsid w:val="00D97FE3"/>
    <w:rsid w:val="00DA0475"/>
    <w:rsid w:val="00DA091B"/>
    <w:rsid w:val="00DA17C3"/>
    <w:rsid w:val="00DA1A51"/>
    <w:rsid w:val="00DA2297"/>
    <w:rsid w:val="00DA2813"/>
    <w:rsid w:val="00DA2DDA"/>
    <w:rsid w:val="00DA2F7A"/>
    <w:rsid w:val="00DA485D"/>
    <w:rsid w:val="00DA54ED"/>
    <w:rsid w:val="00DA5D19"/>
    <w:rsid w:val="00DA69C6"/>
    <w:rsid w:val="00DA6F83"/>
    <w:rsid w:val="00DA71FB"/>
    <w:rsid w:val="00DA736F"/>
    <w:rsid w:val="00DA7677"/>
    <w:rsid w:val="00DA7C3E"/>
    <w:rsid w:val="00DB05FA"/>
    <w:rsid w:val="00DB09B9"/>
    <w:rsid w:val="00DB1550"/>
    <w:rsid w:val="00DB18DF"/>
    <w:rsid w:val="00DB1BBC"/>
    <w:rsid w:val="00DB1ED5"/>
    <w:rsid w:val="00DB22CD"/>
    <w:rsid w:val="00DB235D"/>
    <w:rsid w:val="00DB25CE"/>
    <w:rsid w:val="00DB3ABF"/>
    <w:rsid w:val="00DB3E73"/>
    <w:rsid w:val="00DB6161"/>
    <w:rsid w:val="00DB6290"/>
    <w:rsid w:val="00DB7655"/>
    <w:rsid w:val="00DB7B9E"/>
    <w:rsid w:val="00DB7C80"/>
    <w:rsid w:val="00DB7FC5"/>
    <w:rsid w:val="00DC0229"/>
    <w:rsid w:val="00DC048C"/>
    <w:rsid w:val="00DC0EF7"/>
    <w:rsid w:val="00DC1370"/>
    <w:rsid w:val="00DC1C8D"/>
    <w:rsid w:val="00DC2006"/>
    <w:rsid w:val="00DC2E5B"/>
    <w:rsid w:val="00DC3378"/>
    <w:rsid w:val="00DC3560"/>
    <w:rsid w:val="00DC47F7"/>
    <w:rsid w:val="00DC54BF"/>
    <w:rsid w:val="00DC57E2"/>
    <w:rsid w:val="00DC6745"/>
    <w:rsid w:val="00DC6A17"/>
    <w:rsid w:val="00DC6D49"/>
    <w:rsid w:val="00DC6FCF"/>
    <w:rsid w:val="00DC7C92"/>
    <w:rsid w:val="00DC7E1B"/>
    <w:rsid w:val="00DD03DC"/>
    <w:rsid w:val="00DD07E0"/>
    <w:rsid w:val="00DD17E9"/>
    <w:rsid w:val="00DD1832"/>
    <w:rsid w:val="00DD1ED9"/>
    <w:rsid w:val="00DD23F5"/>
    <w:rsid w:val="00DD2616"/>
    <w:rsid w:val="00DD2708"/>
    <w:rsid w:val="00DD3073"/>
    <w:rsid w:val="00DD4102"/>
    <w:rsid w:val="00DD489B"/>
    <w:rsid w:val="00DD4E87"/>
    <w:rsid w:val="00DD5DA4"/>
    <w:rsid w:val="00DD6027"/>
    <w:rsid w:val="00DD60CF"/>
    <w:rsid w:val="00DD618C"/>
    <w:rsid w:val="00DD68B3"/>
    <w:rsid w:val="00DD6C3A"/>
    <w:rsid w:val="00DD720C"/>
    <w:rsid w:val="00DD7DC3"/>
    <w:rsid w:val="00DE0E18"/>
    <w:rsid w:val="00DE1861"/>
    <w:rsid w:val="00DE1C82"/>
    <w:rsid w:val="00DE1EDF"/>
    <w:rsid w:val="00DE2406"/>
    <w:rsid w:val="00DE256C"/>
    <w:rsid w:val="00DE262D"/>
    <w:rsid w:val="00DE2948"/>
    <w:rsid w:val="00DE2AA5"/>
    <w:rsid w:val="00DE2B72"/>
    <w:rsid w:val="00DE2D6B"/>
    <w:rsid w:val="00DE3036"/>
    <w:rsid w:val="00DE322D"/>
    <w:rsid w:val="00DE360C"/>
    <w:rsid w:val="00DE3F1A"/>
    <w:rsid w:val="00DE4AE4"/>
    <w:rsid w:val="00DE4EBC"/>
    <w:rsid w:val="00DE552F"/>
    <w:rsid w:val="00DE55B0"/>
    <w:rsid w:val="00DE5858"/>
    <w:rsid w:val="00DE6E1E"/>
    <w:rsid w:val="00DE7467"/>
    <w:rsid w:val="00DE7B9A"/>
    <w:rsid w:val="00DF01E4"/>
    <w:rsid w:val="00DF02F2"/>
    <w:rsid w:val="00DF1045"/>
    <w:rsid w:val="00DF167C"/>
    <w:rsid w:val="00DF2011"/>
    <w:rsid w:val="00DF26A5"/>
    <w:rsid w:val="00DF3712"/>
    <w:rsid w:val="00DF3B08"/>
    <w:rsid w:val="00DF3CE1"/>
    <w:rsid w:val="00DF49C6"/>
    <w:rsid w:val="00DF505C"/>
    <w:rsid w:val="00DF560B"/>
    <w:rsid w:val="00DF5B95"/>
    <w:rsid w:val="00DF6CBC"/>
    <w:rsid w:val="00E00248"/>
    <w:rsid w:val="00E002CF"/>
    <w:rsid w:val="00E00311"/>
    <w:rsid w:val="00E00878"/>
    <w:rsid w:val="00E02F81"/>
    <w:rsid w:val="00E03179"/>
    <w:rsid w:val="00E05054"/>
    <w:rsid w:val="00E05772"/>
    <w:rsid w:val="00E059B2"/>
    <w:rsid w:val="00E059F4"/>
    <w:rsid w:val="00E073A6"/>
    <w:rsid w:val="00E07997"/>
    <w:rsid w:val="00E10048"/>
    <w:rsid w:val="00E107AB"/>
    <w:rsid w:val="00E11019"/>
    <w:rsid w:val="00E12066"/>
    <w:rsid w:val="00E125D8"/>
    <w:rsid w:val="00E12FA8"/>
    <w:rsid w:val="00E13368"/>
    <w:rsid w:val="00E14256"/>
    <w:rsid w:val="00E144A0"/>
    <w:rsid w:val="00E1574A"/>
    <w:rsid w:val="00E16162"/>
    <w:rsid w:val="00E16398"/>
    <w:rsid w:val="00E16472"/>
    <w:rsid w:val="00E1652A"/>
    <w:rsid w:val="00E17274"/>
    <w:rsid w:val="00E200E3"/>
    <w:rsid w:val="00E20160"/>
    <w:rsid w:val="00E20365"/>
    <w:rsid w:val="00E21287"/>
    <w:rsid w:val="00E22C8F"/>
    <w:rsid w:val="00E231C1"/>
    <w:rsid w:val="00E23C98"/>
    <w:rsid w:val="00E23F63"/>
    <w:rsid w:val="00E23F72"/>
    <w:rsid w:val="00E258D8"/>
    <w:rsid w:val="00E25AA9"/>
    <w:rsid w:val="00E26049"/>
    <w:rsid w:val="00E2618F"/>
    <w:rsid w:val="00E269D8"/>
    <w:rsid w:val="00E26AA4"/>
    <w:rsid w:val="00E26C01"/>
    <w:rsid w:val="00E271C0"/>
    <w:rsid w:val="00E3088F"/>
    <w:rsid w:val="00E30CEB"/>
    <w:rsid w:val="00E30D56"/>
    <w:rsid w:val="00E30D96"/>
    <w:rsid w:val="00E310C7"/>
    <w:rsid w:val="00E312EB"/>
    <w:rsid w:val="00E319F9"/>
    <w:rsid w:val="00E32755"/>
    <w:rsid w:val="00E32C95"/>
    <w:rsid w:val="00E32D7A"/>
    <w:rsid w:val="00E331D3"/>
    <w:rsid w:val="00E339E5"/>
    <w:rsid w:val="00E33A95"/>
    <w:rsid w:val="00E33BC6"/>
    <w:rsid w:val="00E33EB2"/>
    <w:rsid w:val="00E345C0"/>
    <w:rsid w:val="00E34FB3"/>
    <w:rsid w:val="00E3531A"/>
    <w:rsid w:val="00E35DBA"/>
    <w:rsid w:val="00E40D0B"/>
    <w:rsid w:val="00E40F88"/>
    <w:rsid w:val="00E41655"/>
    <w:rsid w:val="00E41761"/>
    <w:rsid w:val="00E418A6"/>
    <w:rsid w:val="00E41A73"/>
    <w:rsid w:val="00E42480"/>
    <w:rsid w:val="00E425C5"/>
    <w:rsid w:val="00E435E0"/>
    <w:rsid w:val="00E4413D"/>
    <w:rsid w:val="00E4497A"/>
    <w:rsid w:val="00E44C8B"/>
    <w:rsid w:val="00E44F8D"/>
    <w:rsid w:val="00E452E2"/>
    <w:rsid w:val="00E45D0E"/>
    <w:rsid w:val="00E45EB7"/>
    <w:rsid w:val="00E46213"/>
    <w:rsid w:val="00E464D1"/>
    <w:rsid w:val="00E46931"/>
    <w:rsid w:val="00E46E43"/>
    <w:rsid w:val="00E4700D"/>
    <w:rsid w:val="00E472F9"/>
    <w:rsid w:val="00E47BF5"/>
    <w:rsid w:val="00E51824"/>
    <w:rsid w:val="00E52400"/>
    <w:rsid w:val="00E524FA"/>
    <w:rsid w:val="00E52A1A"/>
    <w:rsid w:val="00E531A8"/>
    <w:rsid w:val="00E534BC"/>
    <w:rsid w:val="00E53968"/>
    <w:rsid w:val="00E53997"/>
    <w:rsid w:val="00E53BB5"/>
    <w:rsid w:val="00E54806"/>
    <w:rsid w:val="00E54EF5"/>
    <w:rsid w:val="00E554AD"/>
    <w:rsid w:val="00E55702"/>
    <w:rsid w:val="00E5585C"/>
    <w:rsid w:val="00E562F9"/>
    <w:rsid w:val="00E605F3"/>
    <w:rsid w:val="00E61E33"/>
    <w:rsid w:val="00E62B3A"/>
    <w:rsid w:val="00E630EE"/>
    <w:rsid w:val="00E63F2B"/>
    <w:rsid w:val="00E6405F"/>
    <w:rsid w:val="00E6423C"/>
    <w:rsid w:val="00E65C81"/>
    <w:rsid w:val="00E66357"/>
    <w:rsid w:val="00E66500"/>
    <w:rsid w:val="00E667D1"/>
    <w:rsid w:val="00E66A15"/>
    <w:rsid w:val="00E67214"/>
    <w:rsid w:val="00E67323"/>
    <w:rsid w:val="00E67648"/>
    <w:rsid w:val="00E6783A"/>
    <w:rsid w:val="00E678EA"/>
    <w:rsid w:val="00E67C1C"/>
    <w:rsid w:val="00E702F3"/>
    <w:rsid w:val="00E707F5"/>
    <w:rsid w:val="00E7087B"/>
    <w:rsid w:val="00E710A3"/>
    <w:rsid w:val="00E71517"/>
    <w:rsid w:val="00E71DD1"/>
    <w:rsid w:val="00E72404"/>
    <w:rsid w:val="00E737CA"/>
    <w:rsid w:val="00E73C58"/>
    <w:rsid w:val="00E74838"/>
    <w:rsid w:val="00E756AD"/>
    <w:rsid w:val="00E75A1F"/>
    <w:rsid w:val="00E75FB8"/>
    <w:rsid w:val="00E764EF"/>
    <w:rsid w:val="00E76B1D"/>
    <w:rsid w:val="00E774F4"/>
    <w:rsid w:val="00E77677"/>
    <w:rsid w:val="00E77A1B"/>
    <w:rsid w:val="00E81AD8"/>
    <w:rsid w:val="00E81F4A"/>
    <w:rsid w:val="00E82157"/>
    <w:rsid w:val="00E82F08"/>
    <w:rsid w:val="00E82F7B"/>
    <w:rsid w:val="00E833F7"/>
    <w:rsid w:val="00E837F2"/>
    <w:rsid w:val="00E8480C"/>
    <w:rsid w:val="00E84A60"/>
    <w:rsid w:val="00E858BB"/>
    <w:rsid w:val="00E85A27"/>
    <w:rsid w:val="00E85E65"/>
    <w:rsid w:val="00E8654B"/>
    <w:rsid w:val="00E86A63"/>
    <w:rsid w:val="00E86FF4"/>
    <w:rsid w:val="00E87A22"/>
    <w:rsid w:val="00E87DBE"/>
    <w:rsid w:val="00E87FA2"/>
    <w:rsid w:val="00E90091"/>
    <w:rsid w:val="00E91234"/>
    <w:rsid w:val="00E91431"/>
    <w:rsid w:val="00E915CB"/>
    <w:rsid w:val="00E917B6"/>
    <w:rsid w:val="00E919A6"/>
    <w:rsid w:val="00E9228F"/>
    <w:rsid w:val="00E929D4"/>
    <w:rsid w:val="00E92BFA"/>
    <w:rsid w:val="00E9339A"/>
    <w:rsid w:val="00E9382B"/>
    <w:rsid w:val="00E93843"/>
    <w:rsid w:val="00E93C3A"/>
    <w:rsid w:val="00E93DC7"/>
    <w:rsid w:val="00E93E1E"/>
    <w:rsid w:val="00E95228"/>
    <w:rsid w:val="00E96C45"/>
    <w:rsid w:val="00E96D86"/>
    <w:rsid w:val="00E970CF"/>
    <w:rsid w:val="00E97385"/>
    <w:rsid w:val="00E97755"/>
    <w:rsid w:val="00E9778C"/>
    <w:rsid w:val="00EA0543"/>
    <w:rsid w:val="00EA1059"/>
    <w:rsid w:val="00EA17AD"/>
    <w:rsid w:val="00EA1C4A"/>
    <w:rsid w:val="00EA230C"/>
    <w:rsid w:val="00EA2428"/>
    <w:rsid w:val="00EA3130"/>
    <w:rsid w:val="00EA35FE"/>
    <w:rsid w:val="00EA364D"/>
    <w:rsid w:val="00EA42F9"/>
    <w:rsid w:val="00EA447B"/>
    <w:rsid w:val="00EA44E5"/>
    <w:rsid w:val="00EA4830"/>
    <w:rsid w:val="00EA4AB5"/>
    <w:rsid w:val="00EA56ED"/>
    <w:rsid w:val="00EA5979"/>
    <w:rsid w:val="00EA5B36"/>
    <w:rsid w:val="00EA5E68"/>
    <w:rsid w:val="00EA6103"/>
    <w:rsid w:val="00EA66F8"/>
    <w:rsid w:val="00EA6DB7"/>
    <w:rsid w:val="00EA714B"/>
    <w:rsid w:val="00EA7538"/>
    <w:rsid w:val="00EB19B0"/>
    <w:rsid w:val="00EB1C2F"/>
    <w:rsid w:val="00EB228B"/>
    <w:rsid w:val="00EB2563"/>
    <w:rsid w:val="00EB3785"/>
    <w:rsid w:val="00EB3AB6"/>
    <w:rsid w:val="00EB3BEF"/>
    <w:rsid w:val="00EB4EAA"/>
    <w:rsid w:val="00EB581B"/>
    <w:rsid w:val="00EB5AE9"/>
    <w:rsid w:val="00EB5BF1"/>
    <w:rsid w:val="00EB667C"/>
    <w:rsid w:val="00EB66C4"/>
    <w:rsid w:val="00EB6E36"/>
    <w:rsid w:val="00EB75EF"/>
    <w:rsid w:val="00EC11C2"/>
    <w:rsid w:val="00EC13C5"/>
    <w:rsid w:val="00EC13CD"/>
    <w:rsid w:val="00EC1637"/>
    <w:rsid w:val="00EC1C70"/>
    <w:rsid w:val="00EC1FE9"/>
    <w:rsid w:val="00EC292E"/>
    <w:rsid w:val="00EC3F1A"/>
    <w:rsid w:val="00EC431F"/>
    <w:rsid w:val="00EC435E"/>
    <w:rsid w:val="00EC4602"/>
    <w:rsid w:val="00EC4B01"/>
    <w:rsid w:val="00EC4E3C"/>
    <w:rsid w:val="00EC54C1"/>
    <w:rsid w:val="00EC56C8"/>
    <w:rsid w:val="00EC5985"/>
    <w:rsid w:val="00EC5D0B"/>
    <w:rsid w:val="00EC65C8"/>
    <w:rsid w:val="00EC6826"/>
    <w:rsid w:val="00EC696C"/>
    <w:rsid w:val="00EC6E00"/>
    <w:rsid w:val="00EC7361"/>
    <w:rsid w:val="00EC7625"/>
    <w:rsid w:val="00EC7C5F"/>
    <w:rsid w:val="00ED0C6A"/>
    <w:rsid w:val="00ED0F78"/>
    <w:rsid w:val="00ED127F"/>
    <w:rsid w:val="00ED154D"/>
    <w:rsid w:val="00ED1A00"/>
    <w:rsid w:val="00ED1B4D"/>
    <w:rsid w:val="00ED1E03"/>
    <w:rsid w:val="00ED2133"/>
    <w:rsid w:val="00ED24A6"/>
    <w:rsid w:val="00ED3371"/>
    <w:rsid w:val="00ED3576"/>
    <w:rsid w:val="00ED3B32"/>
    <w:rsid w:val="00ED3FCC"/>
    <w:rsid w:val="00ED4A8C"/>
    <w:rsid w:val="00ED53A5"/>
    <w:rsid w:val="00ED5C11"/>
    <w:rsid w:val="00ED6050"/>
    <w:rsid w:val="00ED67F3"/>
    <w:rsid w:val="00ED71BD"/>
    <w:rsid w:val="00ED7CF9"/>
    <w:rsid w:val="00EE0D27"/>
    <w:rsid w:val="00EE1ADB"/>
    <w:rsid w:val="00EE1BF7"/>
    <w:rsid w:val="00EE2273"/>
    <w:rsid w:val="00EE25A1"/>
    <w:rsid w:val="00EE2AEC"/>
    <w:rsid w:val="00EE3AC1"/>
    <w:rsid w:val="00EE3DC2"/>
    <w:rsid w:val="00EE4B3C"/>
    <w:rsid w:val="00EE4FA3"/>
    <w:rsid w:val="00EE5342"/>
    <w:rsid w:val="00EE58F0"/>
    <w:rsid w:val="00EE5EE3"/>
    <w:rsid w:val="00EE682D"/>
    <w:rsid w:val="00EE6FBC"/>
    <w:rsid w:val="00EF0325"/>
    <w:rsid w:val="00EF03AB"/>
    <w:rsid w:val="00EF08DE"/>
    <w:rsid w:val="00EF0C56"/>
    <w:rsid w:val="00EF0FC4"/>
    <w:rsid w:val="00EF1C4A"/>
    <w:rsid w:val="00EF1CCF"/>
    <w:rsid w:val="00EF1EA8"/>
    <w:rsid w:val="00EF252C"/>
    <w:rsid w:val="00EF3D4F"/>
    <w:rsid w:val="00EF3D64"/>
    <w:rsid w:val="00EF3DC2"/>
    <w:rsid w:val="00EF4055"/>
    <w:rsid w:val="00EF44D9"/>
    <w:rsid w:val="00EF4C8E"/>
    <w:rsid w:val="00EF4D0C"/>
    <w:rsid w:val="00EF54D9"/>
    <w:rsid w:val="00EF565D"/>
    <w:rsid w:val="00EF59C7"/>
    <w:rsid w:val="00EF6874"/>
    <w:rsid w:val="00EF6BE3"/>
    <w:rsid w:val="00EF7245"/>
    <w:rsid w:val="00EF7C27"/>
    <w:rsid w:val="00F00C1A"/>
    <w:rsid w:val="00F00C5E"/>
    <w:rsid w:val="00F013DC"/>
    <w:rsid w:val="00F017EA"/>
    <w:rsid w:val="00F02051"/>
    <w:rsid w:val="00F02525"/>
    <w:rsid w:val="00F02EC1"/>
    <w:rsid w:val="00F03419"/>
    <w:rsid w:val="00F03A0B"/>
    <w:rsid w:val="00F04333"/>
    <w:rsid w:val="00F0437A"/>
    <w:rsid w:val="00F04A1F"/>
    <w:rsid w:val="00F04BFA"/>
    <w:rsid w:val="00F04CEB"/>
    <w:rsid w:val="00F05441"/>
    <w:rsid w:val="00F05C3E"/>
    <w:rsid w:val="00F075C8"/>
    <w:rsid w:val="00F0795D"/>
    <w:rsid w:val="00F07E03"/>
    <w:rsid w:val="00F100C3"/>
    <w:rsid w:val="00F10DD2"/>
    <w:rsid w:val="00F10FAC"/>
    <w:rsid w:val="00F11856"/>
    <w:rsid w:val="00F11BE5"/>
    <w:rsid w:val="00F12B91"/>
    <w:rsid w:val="00F1322D"/>
    <w:rsid w:val="00F135BF"/>
    <w:rsid w:val="00F138A2"/>
    <w:rsid w:val="00F13A9C"/>
    <w:rsid w:val="00F13E4D"/>
    <w:rsid w:val="00F14BE7"/>
    <w:rsid w:val="00F14D3E"/>
    <w:rsid w:val="00F15244"/>
    <w:rsid w:val="00F15651"/>
    <w:rsid w:val="00F15C36"/>
    <w:rsid w:val="00F15C89"/>
    <w:rsid w:val="00F15F5B"/>
    <w:rsid w:val="00F1659D"/>
    <w:rsid w:val="00F16C76"/>
    <w:rsid w:val="00F17403"/>
    <w:rsid w:val="00F17740"/>
    <w:rsid w:val="00F17E4D"/>
    <w:rsid w:val="00F20007"/>
    <w:rsid w:val="00F20FA6"/>
    <w:rsid w:val="00F2100E"/>
    <w:rsid w:val="00F2126A"/>
    <w:rsid w:val="00F21B58"/>
    <w:rsid w:val="00F2372F"/>
    <w:rsid w:val="00F23770"/>
    <w:rsid w:val="00F23F1D"/>
    <w:rsid w:val="00F243A2"/>
    <w:rsid w:val="00F24C66"/>
    <w:rsid w:val="00F25C87"/>
    <w:rsid w:val="00F25E82"/>
    <w:rsid w:val="00F26311"/>
    <w:rsid w:val="00F2652A"/>
    <w:rsid w:val="00F26884"/>
    <w:rsid w:val="00F27980"/>
    <w:rsid w:val="00F27A17"/>
    <w:rsid w:val="00F27A18"/>
    <w:rsid w:val="00F302AE"/>
    <w:rsid w:val="00F3119B"/>
    <w:rsid w:val="00F31537"/>
    <w:rsid w:val="00F316F0"/>
    <w:rsid w:val="00F31BC8"/>
    <w:rsid w:val="00F322EE"/>
    <w:rsid w:val="00F33FD2"/>
    <w:rsid w:val="00F34151"/>
    <w:rsid w:val="00F348A6"/>
    <w:rsid w:val="00F358B5"/>
    <w:rsid w:val="00F359AA"/>
    <w:rsid w:val="00F36779"/>
    <w:rsid w:val="00F36DFA"/>
    <w:rsid w:val="00F400C6"/>
    <w:rsid w:val="00F40FB6"/>
    <w:rsid w:val="00F41667"/>
    <w:rsid w:val="00F41F83"/>
    <w:rsid w:val="00F427A1"/>
    <w:rsid w:val="00F42B08"/>
    <w:rsid w:val="00F42EC1"/>
    <w:rsid w:val="00F4301E"/>
    <w:rsid w:val="00F43DE2"/>
    <w:rsid w:val="00F43E55"/>
    <w:rsid w:val="00F43EB5"/>
    <w:rsid w:val="00F44E16"/>
    <w:rsid w:val="00F44F6B"/>
    <w:rsid w:val="00F45803"/>
    <w:rsid w:val="00F468BF"/>
    <w:rsid w:val="00F4790E"/>
    <w:rsid w:val="00F502F3"/>
    <w:rsid w:val="00F50527"/>
    <w:rsid w:val="00F5073B"/>
    <w:rsid w:val="00F51550"/>
    <w:rsid w:val="00F52568"/>
    <w:rsid w:val="00F52E91"/>
    <w:rsid w:val="00F53174"/>
    <w:rsid w:val="00F53BE0"/>
    <w:rsid w:val="00F53C75"/>
    <w:rsid w:val="00F53FD6"/>
    <w:rsid w:val="00F540A7"/>
    <w:rsid w:val="00F548A8"/>
    <w:rsid w:val="00F55261"/>
    <w:rsid w:val="00F5531B"/>
    <w:rsid w:val="00F5558C"/>
    <w:rsid w:val="00F5665F"/>
    <w:rsid w:val="00F6042E"/>
    <w:rsid w:val="00F606E7"/>
    <w:rsid w:val="00F60785"/>
    <w:rsid w:val="00F612BF"/>
    <w:rsid w:val="00F61423"/>
    <w:rsid w:val="00F61A54"/>
    <w:rsid w:val="00F61E23"/>
    <w:rsid w:val="00F61EC8"/>
    <w:rsid w:val="00F62B09"/>
    <w:rsid w:val="00F635A4"/>
    <w:rsid w:val="00F6558A"/>
    <w:rsid w:val="00F65AB2"/>
    <w:rsid w:val="00F65C6E"/>
    <w:rsid w:val="00F65D0F"/>
    <w:rsid w:val="00F662B2"/>
    <w:rsid w:val="00F662E7"/>
    <w:rsid w:val="00F66F7B"/>
    <w:rsid w:val="00F67F6A"/>
    <w:rsid w:val="00F67F9C"/>
    <w:rsid w:val="00F71506"/>
    <w:rsid w:val="00F71A97"/>
    <w:rsid w:val="00F726D3"/>
    <w:rsid w:val="00F72846"/>
    <w:rsid w:val="00F7445A"/>
    <w:rsid w:val="00F74B94"/>
    <w:rsid w:val="00F753EC"/>
    <w:rsid w:val="00F7564F"/>
    <w:rsid w:val="00F801C1"/>
    <w:rsid w:val="00F80600"/>
    <w:rsid w:val="00F80980"/>
    <w:rsid w:val="00F819DE"/>
    <w:rsid w:val="00F81C7E"/>
    <w:rsid w:val="00F81CD8"/>
    <w:rsid w:val="00F81E62"/>
    <w:rsid w:val="00F82434"/>
    <w:rsid w:val="00F829F3"/>
    <w:rsid w:val="00F82C0D"/>
    <w:rsid w:val="00F83534"/>
    <w:rsid w:val="00F8361B"/>
    <w:rsid w:val="00F8396E"/>
    <w:rsid w:val="00F83B2C"/>
    <w:rsid w:val="00F83BC3"/>
    <w:rsid w:val="00F843E9"/>
    <w:rsid w:val="00F845A0"/>
    <w:rsid w:val="00F8499D"/>
    <w:rsid w:val="00F849A2"/>
    <w:rsid w:val="00F850EA"/>
    <w:rsid w:val="00F858C7"/>
    <w:rsid w:val="00F86127"/>
    <w:rsid w:val="00F907C8"/>
    <w:rsid w:val="00F90B06"/>
    <w:rsid w:val="00F91489"/>
    <w:rsid w:val="00F918D6"/>
    <w:rsid w:val="00F91C01"/>
    <w:rsid w:val="00F92243"/>
    <w:rsid w:val="00F92367"/>
    <w:rsid w:val="00F92C06"/>
    <w:rsid w:val="00F92D0D"/>
    <w:rsid w:val="00F93121"/>
    <w:rsid w:val="00F93292"/>
    <w:rsid w:val="00F93D63"/>
    <w:rsid w:val="00F9415F"/>
    <w:rsid w:val="00F94938"/>
    <w:rsid w:val="00F94EEC"/>
    <w:rsid w:val="00F95B0A"/>
    <w:rsid w:val="00F95DD7"/>
    <w:rsid w:val="00F9737C"/>
    <w:rsid w:val="00F97884"/>
    <w:rsid w:val="00F978D0"/>
    <w:rsid w:val="00FA0657"/>
    <w:rsid w:val="00FA0685"/>
    <w:rsid w:val="00FA08E5"/>
    <w:rsid w:val="00FA0A2F"/>
    <w:rsid w:val="00FA1495"/>
    <w:rsid w:val="00FA1A57"/>
    <w:rsid w:val="00FA30B1"/>
    <w:rsid w:val="00FA322C"/>
    <w:rsid w:val="00FA437E"/>
    <w:rsid w:val="00FA47BF"/>
    <w:rsid w:val="00FA4FDE"/>
    <w:rsid w:val="00FA5395"/>
    <w:rsid w:val="00FA564A"/>
    <w:rsid w:val="00FA5D1B"/>
    <w:rsid w:val="00FA5D4D"/>
    <w:rsid w:val="00FA5D6C"/>
    <w:rsid w:val="00FA5DAF"/>
    <w:rsid w:val="00FA6084"/>
    <w:rsid w:val="00FA7119"/>
    <w:rsid w:val="00FA7342"/>
    <w:rsid w:val="00FB14EB"/>
    <w:rsid w:val="00FB1A73"/>
    <w:rsid w:val="00FB1F9A"/>
    <w:rsid w:val="00FB24CE"/>
    <w:rsid w:val="00FB26BF"/>
    <w:rsid w:val="00FB281A"/>
    <w:rsid w:val="00FB29E2"/>
    <w:rsid w:val="00FB2D87"/>
    <w:rsid w:val="00FB4DBF"/>
    <w:rsid w:val="00FB6358"/>
    <w:rsid w:val="00FB640A"/>
    <w:rsid w:val="00FB76E9"/>
    <w:rsid w:val="00FB7BFB"/>
    <w:rsid w:val="00FC0083"/>
    <w:rsid w:val="00FC07AF"/>
    <w:rsid w:val="00FC0CF9"/>
    <w:rsid w:val="00FC0E05"/>
    <w:rsid w:val="00FC1354"/>
    <w:rsid w:val="00FC13E0"/>
    <w:rsid w:val="00FC1593"/>
    <w:rsid w:val="00FC166B"/>
    <w:rsid w:val="00FC2213"/>
    <w:rsid w:val="00FC33E1"/>
    <w:rsid w:val="00FC374E"/>
    <w:rsid w:val="00FC458C"/>
    <w:rsid w:val="00FC4A65"/>
    <w:rsid w:val="00FC4F56"/>
    <w:rsid w:val="00FC5780"/>
    <w:rsid w:val="00FC5C0A"/>
    <w:rsid w:val="00FC6268"/>
    <w:rsid w:val="00FC633E"/>
    <w:rsid w:val="00FC76ED"/>
    <w:rsid w:val="00FC7942"/>
    <w:rsid w:val="00FC7BB0"/>
    <w:rsid w:val="00FD0999"/>
    <w:rsid w:val="00FD0A29"/>
    <w:rsid w:val="00FD0A45"/>
    <w:rsid w:val="00FD1EEB"/>
    <w:rsid w:val="00FD218D"/>
    <w:rsid w:val="00FD22F6"/>
    <w:rsid w:val="00FD27A0"/>
    <w:rsid w:val="00FD2F77"/>
    <w:rsid w:val="00FD3070"/>
    <w:rsid w:val="00FD3429"/>
    <w:rsid w:val="00FD35C5"/>
    <w:rsid w:val="00FD396C"/>
    <w:rsid w:val="00FD4E46"/>
    <w:rsid w:val="00FD4F7E"/>
    <w:rsid w:val="00FD5108"/>
    <w:rsid w:val="00FD5290"/>
    <w:rsid w:val="00FD539F"/>
    <w:rsid w:val="00FD55FC"/>
    <w:rsid w:val="00FD5E94"/>
    <w:rsid w:val="00FD6214"/>
    <w:rsid w:val="00FD6794"/>
    <w:rsid w:val="00FD679A"/>
    <w:rsid w:val="00FD682F"/>
    <w:rsid w:val="00FD6ACC"/>
    <w:rsid w:val="00FD6EE8"/>
    <w:rsid w:val="00FD6FD8"/>
    <w:rsid w:val="00FD754A"/>
    <w:rsid w:val="00FD77D7"/>
    <w:rsid w:val="00FD7948"/>
    <w:rsid w:val="00FD7AA4"/>
    <w:rsid w:val="00FD7D2C"/>
    <w:rsid w:val="00FE01A2"/>
    <w:rsid w:val="00FE02DC"/>
    <w:rsid w:val="00FE0CC4"/>
    <w:rsid w:val="00FE0F95"/>
    <w:rsid w:val="00FE1562"/>
    <w:rsid w:val="00FE17E6"/>
    <w:rsid w:val="00FE181B"/>
    <w:rsid w:val="00FE2757"/>
    <w:rsid w:val="00FE2F95"/>
    <w:rsid w:val="00FE3BBF"/>
    <w:rsid w:val="00FE3D63"/>
    <w:rsid w:val="00FE4CB6"/>
    <w:rsid w:val="00FE4F3B"/>
    <w:rsid w:val="00FE57E2"/>
    <w:rsid w:val="00FE5CB2"/>
    <w:rsid w:val="00FE5E54"/>
    <w:rsid w:val="00FE6889"/>
    <w:rsid w:val="00FE72C9"/>
    <w:rsid w:val="00FF13ED"/>
    <w:rsid w:val="00FF229A"/>
    <w:rsid w:val="00FF25C7"/>
    <w:rsid w:val="00FF2856"/>
    <w:rsid w:val="00FF3AB5"/>
    <w:rsid w:val="00FF3F39"/>
    <w:rsid w:val="00FF3F92"/>
    <w:rsid w:val="00FF4069"/>
    <w:rsid w:val="00FF4326"/>
    <w:rsid w:val="00FF468C"/>
    <w:rsid w:val="00FF4771"/>
    <w:rsid w:val="00FF4779"/>
    <w:rsid w:val="00FF4B4B"/>
    <w:rsid w:val="00FF4DF6"/>
    <w:rsid w:val="00FF4F50"/>
    <w:rsid w:val="00FF5124"/>
    <w:rsid w:val="00FF5178"/>
    <w:rsid w:val="00FF54BF"/>
    <w:rsid w:val="00FF65D8"/>
    <w:rsid w:val="00FF6678"/>
    <w:rsid w:val="00FF6B72"/>
    <w:rsid w:val="00FF6DAB"/>
    <w:rsid w:val="00FF777C"/>
    <w:rsid w:val="16B8AC12"/>
    <w:rsid w:val="1AD3B80E"/>
    <w:rsid w:val="1C8AE01C"/>
    <w:rsid w:val="222A7AC6"/>
    <w:rsid w:val="26C99D64"/>
    <w:rsid w:val="2D2848C5"/>
    <w:rsid w:val="30164DBD"/>
    <w:rsid w:val="38494BA8"/>
    <w:rsid w:val="391D4BAD"/>
    <w:rsid w:val="3C682601"/>
    <w:rsid w:val="3DB6BFC4"/>
    <w:rsid w:val="3F707DDF"/>
    <w:rsid w:val="4EC69036"/>
    <w:rsid w:val="5076B434"/>
    <w:rsid w:val="5551D1CE"/>
    <w:rsid w:val="58560BCA"/>
    <w:rsid w:val="58C108A0"/>
    <w:rsid w:val="6F1F486C"/>
    <w:rsid w:val="7230F2FD"/>
    <w:rsid w:val="7CD3D9F9"/>
    <w:rsid w:val="7F4F4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0A53"/>
  <w15:docId w15:val="{0BED211A-CAE0-477F-B6A3-E57EE564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5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61C3A"/>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61C3A"/>
    <w:rPr>
      <w:b/>
      <w:bCs/>
    </w:rPr>
  </w:style>
  <w:style w:type="paragraph" w:customStyle="1" w:styleId="textojustificadorecuoprimeiralinha">
    <w:name w:val="texto_justificado_recuo_primeira_linha"/>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61C3A"/>
    <w:rPr>
      <w:color w:val="0000FF"/>
      <w:u w:val="single"/>
    </w:rPr>
  </w:style>
  <w:style w:type="character" w:styleId="HiperlinkVisitado">
    <w:name w:val="FollowedHyperlink"/>
    <w:basedOn w:val="Fontepargpadro"/>
    <w:uiPriority w:val="99"/>
    <w:semiHidden/>
    <w:unhideWhenUsed/>
    <w:rsid w:val="00A61C3A"/>
    <w:rPr>
      <w:color w:val="800080"/>
      <w:u w:val="single"/>
    </w:rPr>
  </w:style>
  <w:style w:type="paragraph" w:customStyle="1" w:styleId="tabelatextoalinhadoesquerda">
    <w:name w:val="tabela_texto_alinhado_esquerda"/>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abelatextojustificado">
    <w:name w:val="tabela_texto_justificado"/>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extojustificadorecuotodaslinhas">
    <w:name w:val="texto_justificado_recuo_todas_linhas"/>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extomonoespaado">
    <w:name w:val="texto_mono_espaçado"/>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extocitao">
    <w:name w:val="texto_citação"/>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A61C3A"/>
    <w:pPr>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61C3A"/>
    <w:rPr>
      <w:i/>
      <w:iCs/>
    </w:rPr>
  </w:style>
  <w:style w:type="paragraph" w:styleId="PargrafodaLista">
    <w:name w:val="List Paragraph"/>
    <w:basedOn w:val="Normal"/>
    <w:uiPriority w:val="34"/>
    <w:qFormat/>
    <w:rsid w:val="00B02DE4"/>
    <w:pPr>
      <w:ind w:left="720"/>
      <w:contextualSpacing/>
    </w:pPr>
  </w:style>
  <w:style w:type="paragraph" w:customStyle="1" w:styleId="textocentralizadomaiusculas">
    <w:name w:val="texto_centralizado_maiusculas"/>
    <w:basedOn w:val="Normal"/>
    <w:rsid w:val="00A06A31"/>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A06A31"/>
    <w:pPr>
      <w:spacing w:before="100" w:beforeAutospacing="1" w:after="100" w:afterAutospacing="1"/>
    </w:pPr>
    <w:rPr>
      <w:rFonts w:ascii="Times New Roman" w:eastAsia="Times New Roman" w:hAnsi="Times New Roman" w:cs="Times New Roman"/>
      <w:sz w:val="24"/>
      <w:szCs w:val="24"/>
      <w:lang w:eastAsia="pt-BR"/>
    </w:rPr>
  </w:style>
  <w:style w:type="paragraph" w:styleId="Reviso">
    <w:name w:val="Revision"/>
    <w:hidden/>
    <w:uiPriority w:val="99"/>
    <w:semiHidden/>
    <w:rsid w:val="00D203DD"/>
  </w:style>
  <w:style w:type="character" w:styleId="Refdecomentrio">
    <w:name w:val="annotation reference"/>
    <w:basedOn w:val="Fontepargpadro"/>
    <w:uiPriority w:val="99"/>
    <w:semiHidden/>
    <w:unhideWhenUsed/>
    <w:rsid w:val="00F829F3"/>
    <w:rPr>
      <w:sz w:val="16"/>
      <w:szCs w:val="16"/>
    </w:rPr>
  </w:style>
  <w:style w:type="paragraph" w:styleId="Textodecomentrio">
    <w:name w:val="annotation text"/>
    <w:basedOn w:val="Normal"/>
    <w:link w:val="TextodecomentrioChar"/>
    <w:uiPriority w:val="99"/>
    <w:unhideWhenUsed/>
    <w:rsid w:val="00F829F3"/>
    <w:rPr>
      <w:sz w:val="20"/>
      <w:szCs w:val="20"/>
    </w:rPr>
  </w:style>
  <w:style w:type="character" w:customStyle="1" w:styleId="TextodecomentrioChar">
    <w:name w:val="Texto de comentário Char"/>
    <w:basedOn w:val="Fontepargpadro"/>
    <w:link w:val="Textodecomentrio"/>
    <w:uiPriority w:val="99"/>
    <w:rsid w:val="00F829F3"/>
    <w:rPr>
      <w:sz w:val="20"/>
      <w:szCs w:val="20"/>
    </w:rPr>
  </w:style>
  <w:style w:type="paragraph" w:styleId="Assuntodocomentrio">
    <w:name w:val="annotation subject"/>
    <w:basedOn w:val="Textodecomentrio"/>
    <w:next w:val="Textodecomentrio"/>
    <w:link w:val="AssuntodocomentrioChar"/>
    <w:uiPriority w:val="99"/>
    <w:semiHidden/>
    <w:unhideWhenUsed/>
    <w:rsid w:val="00F829F3"/>
    <w:rPr>
      <w:b/>
      <w:bCs/>
    </w:rPr>
  </w:style>
  <w:style w:type="character" w:customStyle="1" w:styleId="AssuntodocomentrioChar">
    <w:name w:val="Assunto do comentário Char"/>
    <w:basedOn w:val="TextodecomentrioChar"/>
    <w:link w:val="Assuntodocomentrio"/>
    <w:uiPriority w:val="99"/>
    <w:semiHidden/>
    <w:rsid w:val="00F829F3"/>
    <w:rPr>
      <w:b/>
      <w:bCs/>
      <w:sz w:val="20"/>
      <w:szCs w:val="20"/>
    </w:rPr>
  </w:style>
  <w:style w:type="paragraph" w:styleId="Textodebalo">
    <w:name w:val="Balloon Text"/>
    <w:basedOn w:val="Normal"/>
    <w:link w:val="TextodebaloChar"/>
    <w:uiPriority w:val="99"/>
    <w:semiHidden/>
    <w:unhideWhenUsed/>
    <w:rsid w:val="00DA2F7A"/>
    <w:rPr>
      <w:rFonts w:ascii="Tahoma" w:hAnsi="Tahoma" w:cs="Tahoma"/>
      <w:sz w:val="16"/>
      <w:szCs w:val="16"/>
    </w:rPr>
  </w:style>
  <w:style w:type="character" w:customStyle="1" w:styleId="TextodebaloChar">
    <w:name w:val="Texto de balão Char"/>
    <w:basedOn w:val="Fontepargpadro"/>
    <w:link w:val="Textodebalo"/>
    <w:uiPriority w:val="99"/>
    <w:semiHidden/>
    <w:rsid w:val="00DA2F7A"/>
    <w:rPr>
      <w:rFonts w:ascii="Tahoma" w:hAnsi="Tahoma" w:cs="Tahoma"/>
      <w:sz w:val="16"/>
      <w:szCs w:val="16"/>
    </w:rPr>
  </w:style>
  <w:style w:type="paragraph" w:customStyle="1" w:styleId="list0020paragraph">
    <w:name w:val="list_0020paragraph"/>
    <w:basedOn w:val="Normal"/>
    <w:rsid w:val="00F82C0D"/>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list0020paragraphchar">
    <w:name w:val="list_0020paragraph__char"/>
    <w:basedOn w:val="Fontepargpadro"/>
    <w:rsid w:val="00F82C0D"/>
  </w:style>
  <w:style w:type="character" w:customStyle="1" w:styleId="ui-provider">
    <w:name w:val="ui-provider"/>
    <w:basedOn w:val="Fontepargpadro"/>
    <w:rsid w:val="009F62F7"/>
  </w:style>
  <w:style w:type="table" w:styleId="Tabelacomgrade">
    <w:name w:val="Table Grid"/>
    <w:basedOn w:val="Tabelanormal"/>
    <w:uiPriority w:val="39"/>
    <w:rsid w:val="00E0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A06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848">
      <w:bodyDiv w:val="1"/>
      <w:marLeft w:val="0"/>
      <w:marRight w:val="0"/>
      <w:marTop w:val="0"/>
      <w:marBottom w:val="0"/>
      <w:divBdr>
        <w:top w:val="none" w:sz="0" w:space="0" w:color="auto"/>
        <w:left w:val="none" w:sz="0" w:space="0" w:color="auto"/>
        <w:bottom w:val="none" w:sz="0" w:space="0" w:color="auto"/>
        <w:right w:val="none" w:sz="0" w:space="0" w:color="auto"/>
      </w:divBdr>
    </w:div>
    <w:div w:id="9458811">
      <w:bodyDiv w:val="1"/>
      <w:marLeft w:val="0"/>
      <w:marRight w:val="0"/>
      <w:marTop w:val="0"/>
      <w:marBottom w:val="0"/>
      <w:divBdr>
        <w:top w:val="none" w:sz="0" w:space="0" w:color="auto"/>
        <w:left w:val="none" w:sz="0" w:space="0" w:color="auto"/>
        <w:bottom w:val="none" w:sz="0" w:space="0" w:color="auto"/>
        <w:right w:val="none" w:sz="0" w:space="0" w:color="auto"/>
      </w:divBdr>
    </w:div>
    <w:div w:id="30691349">
      <w:bodyDiv w:val="1"/>
      <w:marLeft w:val="0"/>
      <w:marRight w:val="0"/>
      <w:marTop w:val="0"/>
      <w:marBottom w:val="0"/>
      <w:divBdr>
        <w:top w:val="none" w:sz="0" w:space="0" w:color="auto"/>
        <w:left w:val="none" w:sz="0" w:space="0" w:color="auto"/>
        <w:bottom w:val="none" w:sz="0" w:space="0" w:color="auto"/>
        <w:right w:val="none" w:sz="0" w:space="0" w:color="auto"/>
      </w:divBdr>
    </w:div>
    <w:div w:id="37515837">
      <w:bodyDiv w:val="1"/>
      <w:marLeft w:val="0"/>
      <w:marRight w:val="0"/>
      <w:marTop w:val="0"/>
      <w:marBottom w:val="0"/>
      <w:divBdr>
        <w:top w:val="none" w:sz="0" w:space="0" w:color="auto"/>
        <w:left w:val="none" w:sz="0" w:space="0" w:color="auto"/>
        <w:bottom w:val="none" w:sz="0" w:space="0" w:color="auto"/>
        <w:right w:val="none" w:sz="0" w:space="0" w:color="auto"/>
      </w:divBdr>
    </w:div>
    <w:div w:id="45876486">
      <w:bodyDiv w:val="1"/>
      <w:marLeft w:val="0"/>
      <w:marRight w:val="0"/>
      <w:marTop w:val="0"/>
      <w:marBottom w:val="0"/>
      <w:divBdr>
        <w:top w:val="none" w:sz="0" w:space="0" w:color="auto"/>
        <w:left w:val="none" w:sz="0" w:space="0" w:color="auto"/>
        <w:bottom w:val="none" w:sz="0" w:space="0" w:color="auto"/>
        <w:right w:val="none" w:sz="0" w:space="0" w:color="auto"/>
      </w:divBdr>
    </w:div>
    <w:div w:id="102578154">
      <w:bodyDiv w:val="1"/>
      <w:marLeft w:val="0"/>
      <w:marRight w:val="0"/>
      <w:marTop w:val="0"/>
      <w:marBottom w:val="0"/>
      <w:divBdr>
        <w:top w:val="none" w:sz="0" w:space="0" w:color="auto"/>
        <w:left w:val="none" w:sz="0" w:space="0" w:color="auto"/>
        <w:bottom w:val="none" w:sz="0" w:space="0" w:color="auto"/>
        <w:right w:val="none" w:sz="0" w:space="0" w:color="auto"/>
      </w:divBdr>
    </w:div>
    <w:div w:id="110706970">
      <w:bodyDiv w:val="1"/>
      <w:marLeft w:val="0"/>
      <w:marRight w:val="0"/>
      <w:marTop w:val="0"/>
      <w:marBottom w:val="0"/>
      <w:divBdr>
        <w:top w:val="none" w:sz="0" w:space="0" w:color="auto"/>
        <w:left w:val="none" w:sz="0" w:space="0" w:color="auto"/>
        <w:bottom w:val="none" w:sz="0" w:space="0" w:color="auto"/>
        <w:right w:val="none" w:sz="0" w:space="0" w:color="auto"/>
      </w:divBdr>
    </w:div>
    <w:div w:id="149489621">
      <w:bodyDiv w:val="1"/>
      <w:marLeft w:val="0"/>
      <w:marRight w:val="0"/>
      <w:marTop w:val="0"/>
      <w:marBottom w:val="0"/>
      <w:divBdr>
        <w:top w:val="none" w:sz="0" w:space="0" w:color="auto"/>
        <w:left w:val="none" w:sz="0" w:space="0" w:color="auto"/>
        <w:bottom w:val="none" w:sz="0" w:space="0" w:color="auto"/>
        <w:right w:val="none" w:sz="0" w:space="0" w:color="auto"/>
      </w:divBdr>
    </w:div>
    <w:div w:id="170754033">
      <w:bodyDiv w:val="1"/>
      <w:marLeft w:val="0"/>
      <w:marRight w:val="0"/>
      <w:marTop w:val="0"/>
      <w:marBottom w:val="0"/>
      <w:divBdr>
        <w:top w:val="none" w:sz="0" w:space="0" w:color="auto"/>
        <w:left w:val="none" w:sz="0" w:space="0" w:color="auto"/>
        <w:bottom w:val="none" w:sz="0" w:space="0" w:color="auto"/>
        <w:right w:val="none" w:sz="0" w:space="0" w:color="auto"/>
      </w:divBdr>
    </w:div>
    <w:div w:id="179126772">
      <w:bodyDiv w:val="1"/>
      <w:marLeft w:val="0"/>
      <w:marRight w:val="0"/>
      <w:marTop w:val="0"/>
      <w:marBottom w:val="0"/>
      <w:divBdr>
        <w:top w:val="none" w:sz="0" w:space="0" w:color="auto"/>
        <w:left w:val="none" w:sz="0" w:space="0" w:color="auto"/>
        <w:bottom w:val="none" w:sz="0" w:space="0" w:color="auto"/>
        <w:right w:val="none" w:sz="0" w:space="0" w:color="auto"/>
      </w:divBdr>
    </w:div>
    <w:div w:id="194277772">
      <w:bodyDiv w:val="1"/>
      <w:marLeft w:val="0"/>
      <w:marRight w:val="0"/>
      <w:marTop w:val="0"/>
      <w:marBottom w:val="0"/>
      <w:divBdr>
        <w:top w:val="none" w:sz="0" w:space="0" w:color="auto"/>
        <w:left w:val="none" w:sz="0" w:space="0" w:color="auto"/>
        <w:bottom w:val="none" w:sz="0" w:space="0" w:color="auto"/>
        <w:right w:val="none" w:sz="0" w:space="0" w:color="auto"/>
      </w:divBdr>
    </w:div>
    <w:div w:id="221409245">
      <w:bodyDiv w:val="1"/>
      <w:marLeft w:val="0"/>
      <w:marRight w:val="0"/>
      <w:marTop w:val="0"/>
      <w:marBottom w:val="0"/>
      <w:divBdr>
        <w:top w:val="none" w:sz="0" w:space="0" w:color="auto"/>
        <w:left w:val="none" w:sz="0" w:space="0" w:color="auto"/>
        <w:bottom w:val="none" w:sz="0" w:space="0" w:color="auto"/>
        <w:right w:val="none" w:sz="0" w:space="0" w:color="auto"/>
      </w:divBdr>
    </w:div>
    <w:div w:id="258564732">
      <w:bodyDiv w:val="1"/>
      <w:marLeft w:val="0"/>
      <w:marRight w:val="0"/>
      <w:marTop w:val="0"/>
      <w:marBottom w:val="0"/>
      <w:divBdr>
        <w:top w:val="none" w:sz="0" w:space="0" w:color="auto"/>
        <w:left w:val="none" w:sz="0" w:space="0" w:color="auto"/>
        <w:bottom w:val="none" w:sz="0" w:space="0" w:color="auto"/>
        <w:right w:val="none" w:sz="0" w:space="0" w:color="auto"/>
      </w:divBdr>
    </w:div>
    <w:div w:id="292293845">
      <w:bodyDiv w:val="1"/>
      <w:marLeft w:val="0"/>
      <w:marRight w:val="0"/>
      <w:marTop w:val="0"/>
      <w:marBottom w:val="0"/>
      <w:divBdr>
        <w:top w:val="none" w:sz="0" w:space="0" w:color="auto"/>
        <w:left w:val="none" w:sz="0" w:space="0" w:color="auto"/>
        <w:bottom w:val="none" w:sz="0" w:space="0" w:color="auto"/>
        <w:right w:val="none" w:sz="0" w:space="0" w:color="auto"/>
      </w:divBdr>
    </w:div>
    <w:div w:id="320431607">
      <w:bodyDiv w:val="1"/>
      <w:marLeft w:val="0"/>
      <w:marRight w:val="0"/>
      <w:marTop w:val="0"/>
      <w:marBottom w:val="0"/>
      <w:divBdr>
        <w:top w:val="none" w:sz="0" w:space="0" w:color="auto"/>
        <w:left w:val="none" w:sz="0" w:space="0" w:color="auto"/>
        <w:bottom w:val="none" w:sz="0" w:space="0" w:color="auto"/>
        <w:right w:val="none" w:sz="0" w:space="0" w:color="auto"/>
      </w:divBdr>
    </w:div>
    <w:div w:id="343945436">
      <w:bodyDiv w:val="1"/>
      <w:marLeft w:val="0"/>
      <w:marRight w:val="0"/>
      <w:marTop w:val="0"/>
      <w:marBottom w:val="0"/>
      <w:divBdr>
        <w:top w:val="none" w:sz="0" w:space="0" w:color="auto"/>
        <w:left w:val="none" w:sz="0" w:space="0" w:color="auto"/>
        <w:bottom w:val="none" w:sz="0" w:space="0" w:color="auto"/>
        <w:right w:val="none" w:sz="0" w:space="0" w:color="auto"/>
      </w:divBdr>
    </w:div>
    <w:div w:id="358514241">
      <w:bodyDiv w:val="1"/>
      <w:marLeft w:val="0"/>
      <w:marRight w:val="0"/>
      <w:marTop w:val="0"/>
      <w:marBottom w:val="0"/>
      <w:divBdr>
        <w:top w:val="none" w:sz="0" w:space="0" w:color="auto"/>
        <w:left w:val="none" w:sz="0" w:space="0" w:color="auto"/>
        <w:bottom w:val="none" w:sz="0" w:space="0" w:color="auto"/>
        <w:right w:val="none" w:sz="0" w:space="0" w:color="auto"/>
      </w:divBdr>
    </w:div>
    <w:div w:id="375004644">
      <w:bodyDiv w:val="1"/>
      <w:marLeft w:val="0"/>
      <w:marRight w:val="0"/>
      <w:marTop w:val="0"/>
      <w:marBottom w:val="0"/>
      <w:divBdr>
        <w:top w:val="none" w:sz="0" w:space="0" w:color="auto"/>
        <w:left w:val="none" w:sz="0" w:space="0" w:color="auto"/>
        <w:bottom w:val="none" w:sz="0" w:space="0" w:color="auto"/>
        <w:right w:val="none" w:sz="0" w:space="0" w:color="auto"/>
      </w:divBdr>
    </w:div>
    <w:div w:id="376665338">
      <w:bodyDiv w:val="1"/>
      <w:marLeft w:val="0"/>
      <w:marRight w:val="0"/>
      <w:marTop w:val="0"/>
      <w:marBottom w:val="0"/>
      <w:divBdr>
        <w:top w:val="none" w:sz="0" w:space="0" w:color="auto"/>
        <w:left w:val="none" w:sz="0" w:space="0" w:color="auto"/>
        <w:bottom w:val="none" w:sz="0" w:space="0" w:color="auto"/>
        <w:right w:val="none" w:sz="0" w:space="0" w:color="auto"/>
      </w:divBdr>
    </w:div>
    <w:div w:id="397676533">
      <w:bodyDiv w:val="1"/>
      <w:marLeft w:val="0"/>
      <w:marRight w:val="0"/>
      <w:marTop w:val="0"/>
      <w:marBottom w:val="0"/>
      <w:divBdr>
        <w:top w:val="none" w:sz="0" w:space="0" w:color="auto"/>
        <w:left w:val="none" w:sz="0" w:space="0" w:color="auto"/>
        <w:bottom w:val="none" w:sz="0" w:space="0" w:color="auto"/>
        <w:right w:val="none" w:sz="0" w:space="0" w:color="auto"/>
      </w:divBdr>
    </w:div>
    <w:div w:id="414472846">
      <w:bodyDiv w:val="1"/>
      <w:marLeft w:val="0"/>
      <w:marRight w:val="0"/>
      <w:marTop w:val="0"/>
      <w:marBottom w:val="0"/>
      <w:divBdr>
        <w:top w:val="none" w:sz="0" w:space="0" w:color="auto"/>
        <w:left w:val="none" w:sz="0" w:space="0" w:color="auto"/>
        <w:bottom w:val="none" w:sz="0" w:space="0" w:color="auto"/>
        <w:right w:val="none" w:sz="0" w:space="0" w:color="auto"/>
      </w:divBdr>
    </w:div>
    <w:div w:id="421296153">
      <w:bodyDiv w:val="1"/>
      <w:marLeft w:val="0"/>
      <w:marRight w:val="0"/>
      <w:marTop w:val="0"/>
      <w:marBottom w:val="0"/>
      <w:divBdr>
        <w:top w:val="none" w:sz="0" w:space="0" w:color="auto"/>
        <w:left w:val="none" w:sz="0" w:space="0" w:color="auto"/>
        <w:bottom w:val="none" w:sz="0" w:space="0" w:color="auto"/>
        <w:right w:val="none" w:sz="0" w:space="0" w:color="auto"/>
      </w:divBdr>
    </w:div>
    <w:div w:id="445345870">
      <w:bodyDiv w:val="1"/>
      <w:marLeft w:val="0"/>
      <w:marRight w:val="0"/>
      <w:marTop w:val="0"/>
      <w:marBottom w:val="0"/>
      <w:divBdr>
        <w:top w:val="none" w:sz="0" w:space="0" w:color="auto"/>
        <w:left w:val="none" w:sz="0" w:space="0" w:color="auto"/>
        <w:bottom w:val="none" w:sz="0" w:space="0" w:color="auto"/>
        <w:right w:val="none" w:sz="0" w:space="0" w:color="auto"/>
      </w:divBdr>
    </w:div>
    <w:div w:id="457913872">
      <w:bodyDiv w:val="1"/>
      <w:marLeft w:val="0"/>
      <w:marRight w:val="0"/>
      <w:marTop w:val="0"/>
      <w:marBottom w:val="0"/>
      <w:divBdr>
        <w:top w:val="none" w:sz="0" w:space="0" w:color="auto"/>
        <w:left w:val="none" w:sz="0" w:space="0" w:color="auto"/>
        <w:bottom w:val="none" w:sz="0" w:space="0" w:color="auto"/>
        <w:right w:val="none" w:sz="0" w:space="0" w:color="auto"/>
      </w:divBdr>
    </w:div>
    <w:div w:id="514074093">
      <w:bodyDiv w:val="1"/>
      <w:marLeft w:val="0"/>
      <w:marRight w:val="0"/>
      <w:marTop w:val="0"/>
      <w:marBottom w:val="0"/>
      <w:divBdr>
        <w:top w:val="none" w:sz="0" w:space="0" w:color="auto"/>
        <w:left w:val="none" w:sz="0" w:space="0" w:color="auto"/>
        <w:bottom w:val="none" w:sz="0" w:space="0" w:color="auto"/>
        <w:right w:val="none" w:sz="0" w:space="0" w:color="auto"/>
      </w:divBdr>
    </w:div>
    <w:div w:id="530873400">
      <w:bodyDiv w:val="1"/>
      <w:marLeft w:val="0"/>
      <w:marRight w:val="0"/>
      <w:marTop w:val="0"/>
      <w:marBottom w:val="0"/>
      <w:divBdr>
        <w:top w:val="none" w:sz="0" w:space="0" w:color="auto"/>
        <w:left w:val="none" w:sz="0" w:space="0" w:color="auto"/>
        <w:bottom w:val="none" w:sz="0" w:space="0" w:color="auto"/>
        <w:right w:val="none" w:sz="0" w:space="0" w:color="auto"/>
      </w:divBdr>
    </w:div>
    <w:div w:id="649673444">
      <w:bodyDiv w:val="1"/>
      <w:marLeft w:val="0"/>
      <w:marRight w:val="0"/>
      <w:marTop w:val="0"/>
      <w:marBottom w:val="0"/>
      <w:divBdr>
        <w:top w:val="none" w:sz="0" w:space="0" w:color="auto"/>
        <w:left w:val="none" w:sz="0" w:space="0" w:color="auto"/>
        <w:bottom w:val="none" w:sz="0" w:space="0" w:color="auto"/>
        <w:right w:val="none" w:sz="0" w:space="0" w:color="auto"/>
      </w:divBdr>
    </w:div>
    <w:div w:id="660811269">
      <w:bodyDiv w:val="1"/>
      <w:marLeft w:val="0"/>
      <w:marRight w:val="0"/>
      <w:marTop w:val="0"/>
      <w:marBottom w:val="0"/>
      <w:divBdr>
        <w:top w:val="none" w:sz="0" w:space="0" w:color="auto"/>
        <w:left w:val="none" w:sz="0" w:space="0" w:color="auto"/>
        <w:bottom w:val="none" w:sz="0" w:space="0" w:color="auto"/>
        <w:right w:val="none" w:sz="0" w:space="0" w:color="auto"/>
      </w:divBdr>
    </w:div>
    <w:div w:id="708068079">
      <w:bodyDiv w:val="1"/>
      <w:marLeft w:val="0"/>
      <w:marRight w:val="0"/>
      <w:marTop w:val="0"/>
      <w:marBottom w:val="0"/>
      <w:divBdr>
        <w:top w:val="none" w:sz="0" w:space="0" w:color="auto"/>
        <w:left w:val="none" w:sz="0" w:space="0" w:color="auto"/>
        <w:bottom w:val="none" w:sz="0" w:space="0" w:color="auto"/>
        <w:right w:val="none" w:sz="0" w:space="0" w:color="auto"/>
      </w:divBdr>
    </w:div>
    <w:div w:id="718166268">
      <w:bodyDiv w:val="1"/>
      <w:marLeft w:val="0"/>
      <w:marRight w:val="0"/>
      <w:marTop w:val="0"/>
      <w:marBottom w:val="0"/>
      <w:divBdr>
        <w:top w:val="none" w:sz="0" w:space="0" w:color="auto"/>
        <w:left w:val="none" w:sz="0" w:space="0" w:color="auto"/>
        <w:bottom w:val="none" w:sz="0" w:space="0" w:color="auto"/>
        <w:right w:val="none" w:sz="0" w:space="0" w:color="auto"/>
      </w:divBdr>
    </w:div>
    <w:div w:id="732654432">
      <w:bodyDiv w:val="1"/>
      <w:marLeft w:val="0"/>
      <w:marRight w:val="0"/>
      <w:marTop w:val="0"/>
      <w:marBottom w:val="0"/>
      <w:divBdr>
        <w:top w:val="none" w:sz="0" w:space="0" w:color="auto"/>
        <w:left w:val="none" w:sz="0" w:space="0" w:color="auto"/>
        <w:bottom w:val="none" w:sz="0" w:space="0" w:color="auto"/>
        <w:right w:val="none" w:sz="0" w:space="0" w:color="auto"/>
      </w:divBdr>
    </w:div>
    <w:div w:id="814028776">
      <w:bodyDiv w:val="1"/>
      <w:marLeft w:val="0"/>
      <w:marRight w:val="0"/>
      <w:marTop w:val="0"/>
      <w:marBottom w:val="0"/>
      <w:divBdr>
        <w:top w:val="none" w:sz="0" w:space="0" w:color="auto"/>
        <w:left w:val="none" w:sz="0" w:space="0" w:color="auto"/>
        <w:bottom w:val="none" w:sz="0" w:space="0" w:color="auto"/>
        <w:right w:val="none" w:sz="0" w:space="0" w:color="auto"/>
      </w:divBdr>
    </w:div>
    <w:div w:id="889463028">
      <w:bodyDiv w:val="1"/>
      <w:marLeft w:val="0"/>
      <w:marRight w:val="0"/>
      <w:marTop w:val="0"/>
      <w:marBottom w:val="0"/>
      <w:divBdr>
        <w:top w:val="none" w:sz="0" w:space="0" w:color="auto"/>
        <w:left w:val="none" w:sz="0" w:space="0" w:color="auto"/>
        <w:bottom w:val="none" w:sz="0" w:space="0" w:color="auto"/>
        <w:right w:val="none" w:sz="0" w:space="0" w:color="auto"/>
      </w:divBdr>
    </w:div>
    <w:div w:id="898827111">
      <w:bodyDiv w:val="1"/>
      <w:marLeft w:val="0"/>
      <w:marRight w:val="0"/>
      <w:marTop w:val="0"/>
      <w:marBottom w:val="0"/>
      <w:divBdr>
        <w:top w:val="none" w:sz="0" w:space="0" w:color="auto"/>
        <w:left w:val="none" w:sz="0" w:space="0" w:color="auto"/>
        <w:bottom w:val="none" w:sz="0" w:space="0" w:color="auto"/>
        <w:right w:val="none" w:sz="0" w:space="0" w:color="auto"/>
      </w:divBdr>
    </w:div>
    <w:div w:id="913012393">
      <w:bodyDiv w:val="1"/>
      <w:marLeft w:val="0"/>
      <w:marRight w:val="0"/>
      <w:marTop w:val="0"/>
      <w:marBottom w:val="0"/>
      <w:divBdr>
        <w:top w:val="none" w:sz="0" w:space="0" w:color="auto"/>
        <w:left w:val="none" w:sz="0" w:space="0" w:color="auto"/>
        <w:bottom w:val="none" w:sz="0" w:space="0" w:color="auto"/>
        <w:right w:val="none" w:sz="0" w:space="0" w:color="auto"/>
      </w:divBdr>
    </w:div>
    <w:div w:id="920212301">
      <w:bodyDiv w:val="1"/>
      <w:marLeft w:val="0"/>
      <w:marRight w:val="0"/>
      <w:marTop w:val="0"/>
      <w:marBottom w:val="0"/>
      <w:divBdr>
        <w:top w:val="none" w:sz="0" w:space="0" w:color="auto"/>
        <w:left w:val="none" w:sz="0" w:space="0" w:color="auto"/>
        <w:bottom w:val="none" w:sz="0" w:space="0" w:color="auto"/>
        <w:right w:val="none" w:sz="0" w:space="0" w:color="auto"/>
      </w:divBdr>
    </w:div>
    <w:div w:id="930241520">
      <w:bodyDiv w:val="1"/>
      <w:marLeft w:val="0"/>
      <w:marRight w:val="0"/>
      <w:marTop w:val="0"/>
      <w:marBottom w:val="0"/>
      <w:divBdr>
        <w:top w:val="none" w:sz="0" w:space="0" w:color="auto"/>
        <w:left w:val="none" w:sz="0" w:space="0" w:color="auto"/>
        <w:bottom w:val="none" w:sz="0" w:space="0" w:color="auto"/>
        <w:right w:val="none" w:sz="0" w:space="0" w:color="auto"/>
      </w:divBdr>
    </w:div>
    <w:div w:id="931473454">
      <w:bodyDiv w:val="1"/>
      <w:marLeft w:val="0"/>
      <w:marRight w:val="0"/>
      <w:marTop w:val="0"/>
      <w:marBottom w:val="0"/>
      <w:divBdr>
        <w:top w:val="none" w:sz="0" w:space="0" w:color="auto"/>
        <w:left w:val="none" w:sz="0" w:space="0" w:color="auto"/>
        <w:bottom w:val="none" w:sz="0" w:space="0" w:color="auto"/>
        <w:right w:val="none" w:sz="0" w:space="0" w:color="auto"/>
      </w:divBdr>
    </w:div>
    <w:div w:id="972100944">
      <w:bodyDiv w:val="1"/>
      <w:marLeft w:val="0"/>
      <w:marRight w:val="0"/>
      <w:marTop w:val="0"/>
      <w:marBottom w:val="0"/>
      <w:divBdr>
        <w:top w:val="none" w:sz="0" w:space="0" w:color="auto"/>
        <w:left w:val="none" w:sz="0" w:space="0" w:color="auto"/>
        <w:bottom w:val="none" w:sz="0" w:space="0" w:color="auto"/>
        <w:right w:val="none" w:sz="0" w:space="0" w:color="auto"/>
      </w:divBdr>
    </w:div>
    <w:div w:id="990671990">
      <w:bodyDiv w:val="1"/>
      <w:marLeft w:val="0"/>
      <w:marRight w:val="0"/>
      <w:marTop w:val="0"/>
      <w:marBottom w:val="0"/>
      <w:divBdr>
        <w:top w:val="none" w:sz="0" w:space="0" w:color="auto"/>
        <w:left w:val="none" w:sz="0" w:space="0" w:color="auto"/>
        <w:bottom w:val="none" w:sz="0" w:space="0" w:color="auto"/>
        <w:right w:val="none" w:sz="0" w:space="0" w:color="auto"/>
      </w:divBdr>
    </w:div>
    <w:div w:id="995454842">
      <w:bodyDiv w:val="1"/>
      <w:marLeft w:val="0"/>
      <w:marRight w:val="0"/>
      <w:marTop w:val="0"/>
      <w:marBottom w:val="0"/>
      <w:divBdr>
        <w:top w:val="none" w:sz="0" w:space="0" w:color="auto"/>
        <w:left w:val="none" w:sz="0" w:space="0" w:color="auto"/>
        <w:bottom w:val="none" w:sz="0" w:space="0" w:color="auto"/>
        <w:right w:val="none" w:sz="0" w:space="0" w:color="auto"/>
      </w:divBdr>
    </w:div>
    <w:div w:id="1000305846">
      <w:bodyDiv w:val="1"/>
      <w:marLeft w:val="0"/>
      <w:marRight w:val="0"/>
      <w:marTop w:val="0"/>
      <w:marBottom w:val="0"/>
      <w:divBdr>
        <w:top w:val="none" w:sz="0" w:space="0" w:color="auto"/>
        <w:left w:val="none" w:sz="0" w:space="0" w:color="auto"/>
        <w:bottom w:val="none" w:sz="0" w:space="0" w:color="auto"/>
        <w:right w:val="none" w:sz="0" w:space="0" w:color="auto"/>
      </w:divBdr>
    </w:div>
    <w:div w:id="1016343544">
      <w:bodyDiv w:val="1"/>
      <w:marLeft w:val="0"/>
      <w:marRight w:val="0"/>
      <w:marTop w:val="0"/>
      <w:marBottom w:val="0"/>
      <w:divBdr>
        <w:top w:val="none" w:sz="0" w:space="0" w:color="auto"/>
        <w:left w:val="none" w:sz="0" w:space="0" w:color="auto"/>
        <w:bottom w:val="none" w:sz="0" w:space="0" w:color="auto"/>
        <w:right w:val="none" w:sz="0" w:space="0" w:color="auto"/>
      </w:divBdr>
    </w:div>
    <w:div w:id="1028144794">
      <w:bodyDiv w:val="1"/>
      <w:marLeft w:val="0"/>
      <w:marRight w:val="0"/>
      <w:marTop w:val="0"/>
      <w:marBottom w:val="0"/>
      <w:divBdr>
        <w:top w:val="none" w:sz="0" w:space="0" w:color="auto"/>
        <w:left w:val="none" w:sz="0" w:space="0" w:color="auto"/>
        <w:bottom w:val="none" w:sz="0" w:space="0" w:color="auto"/>
        <w:right w:val="none" w:sz="0" w:space="0" w:color="auto"/>
      </w:divBdr>
    </w:div>
    <w:div w:id="1031416935">
      <w:bodyDiv w:val="1"/>
      <w:marLeft w:val="0"/>
      <w:marRight w:val="0"/>
      <w:marTop w:val="0"/>
      <w:marBottom w:val="0"/>
      <w:divBdr>
        <w:top w:val="none" w:sz="0" w:space="0" w:color="auto"/>
        <w:left w:val="none" w:sz="0" w:space="0" w:color="auto"/>
        <w:bottom w:val="none" w:sz="0" w:space="0" w:color="auto"/>
        <w:right w:val="none" w:sz="0" w:space="0" w:color="auto"/>
      </w:divBdr>
    </w:div>
    <w:div w:id="1040209264">
      <w:bodyDiv w:val="1"/>
      <w:marLeft w:val="0"/>
      <w:marRight w:val="0"/>
      <w:marTop w:val="0"/>
      <w:marBottom w:val="0"/>
      <w:divBdr>
        <w:top w:val="none" w:sz="0" w:space="0" w:color="auto"/>
        <w:left w:val="none" w:sz="0" w:space="0" w:color="auto"/>
        <w:bottom w:val="none" w:sz="0" w:space="0" w:color="auto"/>
        <w:right w:val="none" w:sz="0" w:space="0" w:color="auto"/>
      </w:divBdr>
    </w:div>
    <w:div w:id="1051224034">
      <w:bodyDiv w:val="1"/>
      <w:marLeft w:val="0"/>
      <w:marRight w:val="0"/>
      <w:marTop w:val="0"/>
      <w:marBottom w:val="0"/>
      <w:divBdr>
        <w:top w:val="none" w:sz="0" w:space="0" w:color="auto"/>
        <w:left w:val="none" w:sz="0" w:space="0" w:color="auto"/>
        <w:bottom w:val="none" w:sz="0" w:space="0" w:color="auto"/>
        <w:right w:val="none" w:sz="0" w:space="0" w:color="auto"/>
      </w:divBdr>
    </w:div>
    <w:div w:id="1058867797">
      <w:bodyDiv w:val="1"/>
      <w:marLeft w:val="0"/>
      <w:marRight w:val="0"/>
      <w:marTop w:val="0"/>
      <w:marBottom w:val="0"/>
      <w:divBdr>
        <w:top w:val="none" w:sz="0" w:space="0" w:color="auto"/>
        <w:left w:val="none" w:sz="0" w:space="0" w:color="auto"/>
        <w:bottom w:val="none" w:sz="0" w:space="0" w:color="auto"/>
        <w:right w:val="none" w:sz="0" w:space="0" w:color="auto"/>
      </w:divBdr>
    </w:div>
    <w:div w:id="1064059139">
      <w:bodyDiv w:val="1"/>
      <w:marLeft w:val="0"/>
      <w:marRight w:val="0"/>
      <w:marTop w:val="0"/>
      <w:marBottom w:val="0"/>
      <w:divBdr>
        <w:top w:val="none" w:sz="0" w:space="0" w:color="auto"/>
        <w:left w:val="none" w:sz="0" w:space="0" w:color="auto"/>
        <w:bottom w:val="none" w:sz="0" w:space="0" w:color="auto"/>
        <w:right w:val="none" w:sz="0" w:space="0" w:color="auto"/>
      </w:divBdr>
    </w:div>
    <w:div w:id="1067724905">
      <w:bodyDiv w:val="1"/>
      <w:marLeft w:val="0"/>
      <w:marRight w:val="0"/>
      <w:marTop w:val="0"/>
      <w:marBottom w:val="0"/>
      <w:divBdr>
        <w:top w:val="none" w:sz="0" w:space="0" w:color="auto"/>
        <w:left w:val="none" w:sz="0" w:space="0" w:color="auto"/>
        <w:bottom w:val="none" w:sz="0" w:space="0" w:color="auto"/>
        <w:right w:val="none" w:sz="0" w:space="0" w:color="auto"/>
      </w:divBdr>
    </w:div>
    <w:div w:id="1089886120">
      <w:bodyDiv w:val="1"/>
      <w:marLeft w:val="0"/>
      <w:marRight w:val="0"/>
      <w:marTop w:val="0"/>
      <w:marBottom w:val="0"/>
      <w:divBdr>
        <w:top w:val="none" w:sz="0" w:space="0" w:color="auto"/>
        <w:left w:val="none" w:sz="0" w:space="0" w:color="auto"/>
        <w:bottom w:val="none" w:sz="0" w:space="0" w:color="auto"/>
        <w:right w:val="none" w:sz="0" w:space="0" w:color="auto"/>
      </w:divBdr>
    </w:div>
    <w:div w:id="1110319669">
      <w:bodyDiv w:val="1"/>
      <w:marLeft w:val="0"/>
      <w:marRight w:val="0"/>
      <w:marTop w:val="0"/>
      <w:marBottom w:val="0"/>
      <w:divBdr>
        <w:top w:val="none" w:sz="0" w:space="0" w:color="auto"/>
        <w:left w:val="none" w:sz="0" w:space="0" w:color="auto"/>
        <w:bottom w:val="none" w:sz="0" w:space="0" w:color="auto"/>
        <w:right w:val="none" w:sz="0" w:space="0" w:color="auto"/>
      </w:divBdr>
    </w:div>
    <w:div w:id="1128084708">
      <w:bodyDiv w:val="1"/>
      <w:marLeft w:val="0"/>
      <w:marRight w:val="0"/>
      <w:marTop w:val="0"/>
      <w:marBottom w:val="0"/>
      <w:divBdr>
        <w:top w:val="none" w:sz="0" w:space="0" w:color="auto"/>
        <w:left w:val="none" w:sz="0" w:space="0" w:color="auto"/>
        <w:bottom w:val="none" w:sz="0" w:space="0" w:color="auto"/>
        <w:right w:val="none" w:sz="0" w:space="0" w:color="auto"/>
      </w:divBdr>
    </w:div>
    <w:div w:id="1168863357">
      <w:bodyDiv w:val="1"/>
      <w:marLeft w:val="0"/>
      <w:marRight w:val="0"/>
      <w:marTop w:val="0"/>
      <w:marBottom w:val="0"/>
      <w:divBdr>
        <w:top w:val="none" w:sz="0" w:space="0" w:color="auto"/>
        <w:left w:val="none" w:sz="0" w:space="0" w:color="auto"/>
        <w:bottom w:val="none" w:sz="0" w:space="0" w:color="auto"/>
        <w:right w:val="none" w:sz="0" w:space="0" w:color="auto"/>
      </w:divBdr>
    </w:div>
    <w:div w:id="1183741139">
      <w:bodyDiv w:val="1"/>
      <w:marLeft w:val="0"/>
      <w:marRight w:val="0"/>
      <w:marTop w:val="0"/>
      <w:marBottom w:val="0"/>
      <w:divBdr>
        <w:top w:val="none" w:sz="0" w:space="0" w:color="auto"/>
        <w:left w:val="none" w:sz="0" w:space="0" w:color="auto"/>
        <w:bottom w:val="none" w:sz="0" w:space="0" w:color="auto"/>
        <w:right w:val="none" w:sz="0" w:space="0" w:color="auto"/>
      </w:divBdr>
    </w:div>
    <w:div w:id="1238714231">
      <w:bodyDiv w:val="1"/>
      <w:marLeft w:val="0"/>
      <w:marRight w:val="0"/>
      <w:marTop w:val="0"/>
      <w:marBottom w:val="0"/>
      <w:divBdr>
        <w:top w:val="none" w:sz="0" w:space="0" w:color="auto"/>
        <w:left w:val="none" w:sz="0" w:space="0" w:color="auto"/>
        <w:bottom w:val="none" w:sz="0" w:space="0" w:color="auto"/>
        <w:right w:val="none" w:sz="0" w:space="0" w:color="auto"/>
      </w:divBdr>
    </w:div>
    <w:div w:id="1257209135">
      <w:bodyDiv w:val="1"/>
      <w:marLeft w:val="0"/>
      <w:marRight w:val="0"/>
      <w:marTop w:val="0"/>
      <w:marBottom w:val="0"/>
      <w:divBdr>
        <w:top w:val="none" w:sz="0" w:space="0" w:color="auto"/>
        <w:left w:val="none" w:sz="0" w:space="0" w:color="auto"/>
        <w:bottom w:val="none" w:sz="0" w:space="0" w:color="auto"/>
        <w:right w:val="none" w:sz="0" w:space="0" w:color="auto"/>
      </w:divBdr>
    </w:div>
    <w:div w:id="1259369553">
      <w:bodyDiv w:val="1"/>
      <w:marLeft w:val="0"/>
      <w:marRight w:val="0"/>
      <w:marTop w:val="0"/>
      <w:marBottom w:val="0"/>
      <w:divBdr>
        <w:top w:val="none" w:sz="0" w:space="0" w:color="auto"/>
        <w:left w:val="none" w:sz="0" w:space="0" w:color="auto"/>
        <w:bottom w:val="none" w:sz="0" w:space="0" w:color="auto"/>
        <w:right w:val="none" w:sz="0" w:space="0" w:color="auto"/>
      </w:divBdr>
    </w:div>
    <w:div w:id="1259828760">
      <w:bodyDiv w:val="1"/>
      <w:marLeft w:val="0"/>
      <w:marRight w:val="0"/>
      <w:marTop w:val="0"/>
      <w:marBottom w:val="0"/>
      <w:divBdr>
        <w:top w:val="none" w:sz="0" w:space="0" w:color="auto"/>
        <w:left w:val="none" w:sz="0" w:space="0" w:color="auto"/>
        <w:bottom w:val="none" w:sz="0" w:space="0" w:color="auto"/>
        <w:right w:val="none" w:sz="0" w:space="0" w:color="auto"/>
      </w:divBdr>
    </w:div>
    <w:div w:id="1282224206">
      <w:bodyDiv w:val="1"/>
      <w:marLeft w:val="0"/>
      <w:marRight w:val="0"/>
      <w:marTop w:val="0"/>
      <w:marBottom w:val="0"/>
      <w:divBdr>
        <w:top w:val="none" w:sz="0" w:space="0" w:color="auto"/>
        <w:left w:val="none" w:sz="0" w:space="0" w:color="auto"/>
        <w:bottom w:val="none" w:sz="0" w:space="0" w:color="auto"/>
        <w:right w:val="none" w:sz="0" w:space="0" w:color="auto"/>
      </w:divBdr>
    </w:div>
    <w:div w:id="1285959527">
      <w:bodyDiv w:val="1"/>
      <w:marLeft w:val="0"/>
      <w:marRight w:val="0"/>
      <w:marTop w:val="0"/>
      <w:marBottom w:val="0"/>
      <w:divBdr>
        <w:top w:val="none" w:sz="0" w:space="0" w:color="auto"/>
        <w:left w:val="none" w:sz="0" w:space="0" w:color="auto"/>
        <w:bottom w:val="none" w:sz="0" w:space="0" w:color="auto"/>
        <w:right w:val="none" w:sz="0" w:space="0" w:color="auto"/>
      </w:divBdr>
    </w:div>
    <w:div w:id="1288320497">
      <w:bodyDiv w:val="1"/>
      <w:marLeft w:val="0"/>
      <w:marRight w:val="0"/>
      <w:marTop w:val="0"/>
      <w:marBottom w:val="0"/>
      <w:divBdr>
        <w:top w:val="none" w:sz="0" w:space="0" w:color="auto"/>
        <w:left w:val="none" w:sz="0" w:space="0" w:color="auto"/>
        <w:bottom w:val="none" w:sz="0" w:space="0" w:color="auto"/>
        <w:right w:val="none" w:sz="0" w:space="0" w:color="auto"/>
      </w:divBdr>
    </w:div>
    <w:div w:id="1336572984">
      <w:bodyDiv w:val="1"/>
      <w:marLeft w:val="0"/>
      <w:marRight w:val="0"/>
      <w:marTop w:val="0"/>
      <w:marBottom w:val="0"/>
      <w:divBdr>
        <w:top w:val="none" w:sz="0" w:space="0" w:color="auto"/>
        <w:left w:val="none" w:sz="0" w:space="0" w:color="auto"/>
        <w:bottom w:val="none" w:sz="0" w:space="0" w:color="auto"/>
        <w:right w:val="none" w:sz="0" w:space="0" w:color="auto"/>
      </w:divBdr>
    </w:div>
    <w:div w:id="1356349561">
      <w:bodyDiv w:val="1"/>
      <w:marLeft w:val="0"/>
      <w:marRight w:val="0"/>
      <w:marTop w:val="0"/>
      <w:marBottom w:val="0"/>
      <w:divBdr>
        <w:top w:val="none" w:sz="0" w:space="0" w:color="auto"/>
        <w:left w:val="none" w:sz="0" w:space="0" w:color="auto"/>
        <w:bottom w:val="none" w:sz="0" w:space="0" w:color="auto"/>
        <w:right w:val="none" w:sz="0" w:space="0" w:color="auto"/>
      </w:divBdr>
    </w:div>
    <w:div w:id="1380320530">
      <w:bodyDiv w:val="1"/>
      <w:marLeft w:val="0"/>
      <w:marRight w:val="0"/>
      <w:marTop w:val="0"/>
      <w:marBottom w:val="0"/>
      <w:divBdr>
        <w:top w:val="none" w:sz="0" w:space="0" w:color="auto"/>
        <w:left w:val="none" w:sz="0" w:space="0" w:color="auto"/>
        <w:bottom w:val="none" w:sz="0" w:space="0" w:color="auto"/>
        <w:right w:val="none" w:sz="0" w:space="0" w:color="auto"/>
      </w:divBdr>
    </w:div>
    <w:div w:id="1380786288">
      <w:bodyDiv w:val="1"/>
      <w:marLeft w:val="0"/>
      <w:marRight w:val="0"/>
      <w:marTop w:val="0"/>
      <w:marBottom w:val="0"/>
      <w:divBdr>
        <w:top w:val="none" w:sz="0" w:space="0" w:color="auto"/>
        <w:left w:val="none" w:sz="0" w:space="0" w:color="auto"/>
        <w:bottom w:val="none" w:sz="0" w:space="0" w:color="auto"/>
        <w:right w:val="none" w:sz="0" w:space="0" w:color="auto"/>
      </w:divBdr>
    </w:div>
    <w:div w:id="1438940847">
      <w:bodyDiv w:val="1"/>
      <w:marLeft w:val="0"/>
      <w:marRight w:val="0"/>
      <w:marTop w:val="0"/>
      <w:marBottom w:val="0"/>
      <w:divBdr>
        <w:top w:val="none" w:sz="0" w:space="0" w:color="auto"/>
        <w:left w:val="none" w:sz="0" w:space="0" w:color="auto"/>
        <w:bottom w:val="none" w:sz="0" w:space="0" w:color="auto"/>
        <w:right w:val="none" w:sz="0" w:space="0" w:color="auto"/>
      </w:divBdr>
    </w:div>
    <w:div w:id="1451364840">
      <w:bodyDiv w:val="1"/>
      <w:marLeft w:val="0"/>
      <w:marRight w:val="0"/>
      <w:marTop w:val="0"/>
      <w:marBottom w:val="0"/>
      <w:divBdr>
        <w:top w:val="none" w:sz="0" w:space="0" w:color="auto"/>
        <w:left w:val="none" w:sz="0" w:space="0" w:color="auto"/>
        <w:bottom w:val="none" w:sz="0" w:space="0" w:color="auto"/>
        <w:right w:val="none" w:sz="0" w:space="0" w:color="auto"/>
      </w:divBdr>
    </w:div>
    <w:div w:id="1492208945">
      <w:bodyDiv w:val="1"/>
      <w:marLeft w:val="0"/>
      <w:marRight w:val="0"/>
      <w:marTop w:val="0"/>
      <w:marBottom w:val="0"/>
      <w:divBdr>
        <w:top w:val="none" w:sz="0" w:space="0" w:color="auto"/>
        <w:left w:val="none" w:sz="0" w:space="0" w:color="auto"/>
        <w:bottom w:val="none" w:sz="0" w:space="0" w:color="auto"/>
        <w:right w:val="none" w:sz="0" w:space="0" w:color="auto"/>
      </w:divBdr>
    </w:div>
    <w:div w:id="1513687789">
      <w:bodyDiv w:val="1"/>
      <w:marLeft w:val="0"/>
      <w:marRight w:val="0"/>
      <w:marTop w:val="0"/>
      <w:marBottom w:val="0"/>
      <w:divBdr>
        <w:top w:val="none" w:sz="0" w:space="0" w:color="auto"/>
        <w:left w:val="none" w:sz="0" w:space="0" w:color="auto"/>
        <w:bottom w:val="none" w:sz="0" w:space="0" w:color="auto"/>
        <w:right w:val="none" w:sz="0" w:space="0" w:color="auto"/>
      </w:divBdr>
    </w:div>
    <w:div w:id="1518277540">
      <w:bodyDiv w:val="1"/>
      <w:marLeft w:val="0"/>
      <w:marRight w:val="0"/>
      <w:marTop w:val="0"/>
      <w:marBottom w:val="0"/>
      <w:divBdr>
        <w:top w:val="none" w:sz="0" w:space="0" w:color="auto"/>
        <w:left w:val="none" w:sz="0" w:space="0" w:color="auto"/>
        <w:bottom w:val="none" w:sz="0" w:space="0" w:color="auto"/>
        <w:right w:val="none" w:sz="0" w:space="0" w:color="auto"/>
      </w:divBdr>
    </w:div>
    <w:div w:id="1531067442">
      <w:bodyDiv w:val="1"/>
      <w:marLeft w:val="0"/>
      <w:marRight w:val="0"/>
      <w:marTop w:val="0"/>
      <w:marBottom w:val="0"/>
      <w:divBdr>
        <w:top w:val="none" w:sz="0" w:space="0" w:color="auto"/>
        <w:left w:val="none" w:sz="0" w:space="0" w:color="auto"/>
        <w:bottom w:val="none" w:sz="0" w:space="0" w:color="auto"/>
        <w:right w:val="none" w:sz="0" w:space="0" w:color="auto"/>
      </w:divBdr>
    </w:div>
    <w:div w:id="1550871831">
      <w:bodyDiv w:val="1"/>
      <w:marLeft w:val="0"/>
      <w:marRight w:val="0"/>
      <w:marTop w:val="0"/>
      <w:marBottom w:val="0"/>
      <w:divBdr>
        <w:top w:val="none" w:sz="0" w:space="0" w:color="auto"/>
        <w:left w:val="none" w:sz="0" w:space="0" w:color="auto"/>
        <w:bottom w:val="none" w:sz="0" w:space="0" w:color="auto"/>
        <w:right w:val="none" w:sz="0" w:space="0" w:color="auto"/>
      </w:divBdr>
    </w:div>
    <w:div w:id="1557008304">
      <w:bodyDiv w:val="1"/>
      <w:marLeft w:val="0"/>
      <w:marRight w:val="0"/>
      <w:marTop w:val="0"/>
      <w:marBottom w:val="0"/>
      <w:divBdr>
        <w:top w:val="none" w:sz="0" w:space="0" w:color="auto"/>
        <w:left w:val="none" w:sz="0" w:space="0" w:color="auto"/>
        <w:bottom w:val="none" w:sz="0" w:space="0" w:color="auto"/>
        <w:right w:val="none" w:sz="0" w:space="0" w:color="auto"/>
      </w:divBdr>
    </w:div>
    <w:div w:id="1577201737">
      <w:bodyDiv w:val="1"/>
      <w:marLeft w:val="0"/>
      <w:marRight w:val="0"/>
      <w:marTop w:val="0"/>
      <w:marBottom w:val="0"/>
      <w:divBdr>
        <w:top w:val="none" w:sz="0" w:space="0" w:color="auto"/>
        <w:left w:val="none" w:sz="0" w:space="0" w:color="auto"/>
        <w:bottom w:val="none" w:sz="0" w:space="0" w:color="auto"/>
        <w:right w:val="none" w:sz="0" w:space="0" w:color="auto"/>
      </w:divBdr>
    </w:div>
    <w:div w:id="1660842992">
      <w:bodyDiv w:val="1"/>
      <w:marLeft w:val="0"/>
      <w:marRight w:val="0"/>
      <w:marTop w:val="0"/>
      <w:marBottom w:val="0"/>
      <w:divBdr>
        <w:top w:val="none" w:sz="0" w:space="0" w:color="auto"/>
        <w:left w:val="none" w:sz="0" w:space="0" w:color="auto"/>
        <w:bottom w:val="none" w:sz="0" w:space="0" w:color="auto"/>
        <w:right w:val="none" w:sz="0" w:space="0" w:color="auto"/>
      </w:divBdr>
    </w:div>
    <w:div w:id="1683706843">
      <w:bodyDiv w:val="1"/>
      <w:marLeft w:val="0"/>
      <w:marRight w:val="0"/>
      <w:marTop w:val="0"/>
      <w:marBottom w:val="0"/>
      <w:divBdr>
        <w:top w:val="none" w:sz="0" w:space="0" w:color="auto"/>
        <w:left w:val="none" w:sz="0" w:space="0" w:color="auto"/>
        <w:bottom w:val="none" w:sz="0" w:space="0" w:color="auto"/>
        <w:right w:val="none" w:sz="0" w:space="0" w:color="auto"/>
      </w:divBdr>
    </w:div>
    <w:div w:id="1687903395">
      <w:bodyDiv w:val="1"/>
      <w:marLeft w:val="0"/>
      <w:marRight w:val="0"/>
      <w:marTop w:val="0"/>
      <w:marBottom w:val="0"/>
      <w:divBdr>
        <w:top w:val="none" w:sz="0" w:space="0" w:color="auto"/>
        <w:left w:val="none" w:sz="0" w:space="0" w:color="auto"/>
        <w:bottom w:val="none" w:sz="0" w:space="0" w:color="auto"/>
        <w:right w:val="none" w:sz="0" w:space="0" w:color="auto"/>
      </w:divBdr>
    </w:div>
    <w:div w:id="1688944221">
      <w:bodyDiv w:val="1"/>
      <w:marLeft w:val="0"/>
      <w:marRight w:val="0"/>
      <w:marTop w:val="0"/>
      <w:marBottom w:val="0"/>
      <w:divBdr>
        <w:top w:val="none" w:sz="0" w:space="0" w:color="auto"/>
        <w:left w:val="none" w:sz="0" w:space="0" w:color="auto"/>
        <w:bottom w:val="none" w:sz="0" w:space="0" w:color="auto"/>
        <w:right w:val="none" w:sz="0" w:space="0" w:color="auto"/>
      </w:divBdr>
    </w:div>
    <w:div w:id="1695379520">
      <w:bodyDiv w:val="1"/>
      <w:marLeft w:val="0"/>
      <w:marRight w:val="0"/>
      <w:marTop w:val="0"/>
      <w:marBottom w:val="0"/>
      <w:divBdr>
        <w:top w:val="none" w:sz="0" w:space="0" w:color="auto"/>
        <w:left w:val="none" w:sz="0" w:space="0" w:color="auto"/>
        <w:bottom w:val="none" w:sz="0" w:space="0" w:color="auto"/>
        <w:right w:val="none" w:sz="0" w:space="0" w:color="auto"/>
      </w:divBdr>
    </w:div>
    <w:div w:id="1712874973">
      <w:bodyDiv w:val="1"/>
      <w:marLeft w:val="0"/>
      <w:marRight w:val="0"/>
      <w:marTop w:val="0"/>
      <w:marBottom w:val="0"/>
      <w:divBdr>
        <w:top w:val="none" w:sz="0" w:space="0" w:color="auto"/>
        <w:left w:val="none" w:sz="0" w:space="0" w:color="auto"/>
        <w:bottom w:val="none" w:sz="0" w:space="0" w:color="auto"/>
        <w:right w:val="none" w:sz="0" w:space="0" w:color="auto"/>
      </w:divBdr>
    </w:div>
    <w:div w:id="1713653028">
      <w:bodyDiv w:val="1"/>
      <w:marLeft w:val="0"/>
      <w:marRight w:val="0"/>
      <w:marTop w:val="0"/>
      <w:marBottom w:val="0"/>
      <w:divBdr>
        <w:top w:val="none" w:sz="0" w:space="0" w:color="auto"/>
        <w:left w:val="none" w:sz="0" w:space="0" w:color="auto"/>
        <w:bottom w:val="none" w:sz="0" w:space="0" w:color="auto"/>
        <w:right w:val="none" w:sz="0" w:space="0" w:color="auto"/>
      </w:divBdr>
    </w:div>
    <w:div w:id="1730617847">
      <w:bodyDiv w:val="1"/>
      <w:marLeft w:val="0"/>
      <w:marRight w:val="0"/>
      <w:marTop w:val="0"/>
      <w:marBottom w:val="0"/>
      <w:divBdr>
        <w:top w:val="none" w:sz="0" w:space="0" w:color="auto"/>
        <w:left w:val="none" w:sz="0" w:space="0" w:color="auto"/>
        <w:bottom w:val="none" w:sz="0" w:space="0" w:color="auto"/>
        <w:right w:val="none" w:sz="0" w:space="0" w:color="auto"/>
      </w:divBdr>
    </w:div>
    <w:div w:id="1793205929">
      <w:bodyDiv w:val="1"/>
      <w:marLeft w:val="0"/>
      <w:marRight w:val="0"/>
      <w:marTop w:val="0"/>
      <w:marBottom w:val="0"/>
      <w:divBdr>
        <w:top w:val="none" w:sz="0" w:space="0" w:color="auto"/>
        <w:left w:val="none" w:sz="0" w:space="0" w:color="auto"/>
        <w:bottom w:val="none" w:sz="0" w:space="0" w:color="auto"/>
        <w:right w:val="none" w:sz="0" w:space="0" w:color="auto"/>
      </w:divBdr>
    </w:div>
    <w:div w:id="1803498971">
      <w:bodyDiv w:val="1"/>
      <w:marLeft w:val="0"/>
      <w:marRight w:val="0"/>
      <w:marTop w:val="0"/>
      <w:marBottom w:val="0"/>
      <w:divBdr>
        <w:top w:val="none" w:sz="0" w:space="0" w:color="auto"/>
        <w:left w:val="none" w:sz="0" w:space="0" w:color="auto"/>
        <w:bottom w:val="none" w:sz="0" w:space="0" w:color="auto"/>
        <w:right w:val="none" w:sz="0" w:space="0" w:color="auto"/>
      </w:divBdr>
    </w:div>
    <w:div w:id="1824155196">
      <w:bodyDiv w:val="1"/>
      <w:marLeft w:val="0"/>
      <w:marRight w:val="0"/>
      <w:marTop w:val="0"/>
      <w:marBottom w:val="0"/>
      <w:divBdr>
        <w:top w:val="none" w:sz="0" w:space="0" w:color="auto"/>
        <w:left w:val="none" w:sz="0" w:space="0" w:color="auto"/>
        <w:bottom w:val="none" w:sz="0" w:space="0" w:color="auto"/>
        <w:right w:val="none" w:sz="0" w:space="0" w:color="auto"/>
      </w:divBdr>
    </w:div>
    <w:div w:id="1827286659">
      <w:bodyDiv w:val="1"/>
      <w:marLeft w:val="0"/>
      <w:marRight w:val="0"/>
      <w:marTop w:val="0"/>
      <w:marBottom w:val="0"/>
      <w:divBdr>
        <w:top w:val="none" w:sz="0" w:space="0" w:color="auto"/>
        <w:left w:val="none" w:sz="0" w:space="0" w:color="auto"/>
        <w:bottom w:val="none" w:sz="0" w:space="0" w:color="auto"/>
        <w:right w:val="none" w:sz="0" w:space="0" w:color="auto"/>
      </w:divBdr>
    </w:div>
    <w:div w:id="1834950731">
      <w:bodyDiv w:val="1"/>
      <w:marLeft w:val="0"/>
      <w:marRight w:val="0"/>
      <w:marTop w:val="0"/>
      <w:marBottom w:val="0"/>
      <w:divBdr>
        <w:top w:val="none" w:sz="0" w:space="0" w:color="auto"/>
        <w:left w:val="none" w:sz="0" w:space="0" w:color="auto"/>
        <w:bottom w:val="none" w:sz="0" w:space="0" w:color="auto"/>
        <w:right w:val="none" w:sz="0" w:space="0" w:color="auto"/>
      </w:divBdr>
    </w:div>
    <w:div w:id="1837065638">
      <w:bodyDiv w:val="1"/>
      <w:marLeft w:val="0"/>
      <w:marRight w:val="0"/>
      <w:marTop w:val="0"/>
      <w:marBottom w:val="0"/>
      <w:divBdr>
        <w:top w:val="none" w:sz="0" w:space="0" w:color="auto"/>
        <w:left w:val="none" w:sz="0" w:space="0" w:color="auto"/>
        <w:bottom w:val="none" w:sz="0" w:space="0" w:color="auto"/>
        <w:right w:val="none" w:sz="0" w:space="0" w:color="auto"/>
      </w:divBdr>
    </w:div>
    <w:div w:id="1889368806">
      <w:bodyDiv w:val="1"/>
      <w:marLeft w:val="0"/>
      <w:marRight w:val="0"/>
      <w:marTop w:val="0"/>
      <w:marBottom w:val="0"/>
      <w:divBdr>
        <w:top w:val="none" w:sz="0" w:space="0" w:color="auto"/>
        <w:left w:val="none" w:sz="0" w:space="0" w:color="auto"/>
        <w:bottom w:val="none" w:sz="0" w:space="0" w:color="auto"/>
        <w:right w:val="none" w:sz="0" w:space="0" w:color="auto"/>
      </w:divBdr>
    </w:div>
    <w:div w:id="1898588920">
      <w:bodyDiv w:val="1"/>
      <w:marLeft w:val="0"/>
      <w:marRight w:val="0"/>
      <w:marTop w:val="0"/>
      <w:marBottom w:val="0"/>
      <w:divBdr>
        <w:top w:val="none" w:sz="0" w:space="0" w:color="auto"/>
        <w:left w:val="none" w:sz="0" w:space="0" w:color="auto"/>
        <w:bottom w:val="none" w:sz="0" w:space="0" w:color="auto"/>
        <w:right w:val="none" w:sz="0" w:space="0" w:color="auto"/>
      </w:divBdr>
    </w:div>
    <w:div w:id="1898777959">
      <w:bodyDiv w:val="1"/>
      <w:marLeft w:val="0"/>
      <w:marRight w:val="0"/>
      <w:marTop w:val="0"/>
      <w:marBottom w:val="0"/>
      <w:divBdr>
        <w:top w:val="none" w:sz="0" w:space="0" w:color="auto"/>
        <w:left w:val="none" w:sz="0" w:space="0" w:color="auto"/>
        <w:bottom w:val="none" w:sz="0" w:space="0" w:color="auto"/>
        <w:right w:val="none" w:sz="0" w:space="0" w:color="auto"/>
      </w:divBdr>
    </w:div>
    <w:div w:id="1899392941">
      <w:bodyDiv w:val="1"/>
      <w:marLeft w:val="0"/>
      <w:marRight w:val="0"/>
      <w:marTop w:val="0"/>
      <w:marBottom w:val="0"/>
      <w:divBdr>
        <w:top w:val="none" w:sz="0" w:space="0" w:color="auto"/>
        <w:left w:val="none" w:sz="0" w:space="0" w:color="auto"/>
        <w:bottom w:val="none" w:sz="0" w:space="0" w:color="auto"/>
        <w:right w:val="none" w:sz="0" w:space="0" w:color="auto"/>
      </w:divBdr>
    </w:div>
    <w:div w:id="1913200437">
      <w:bodyDiv w:val="1"/>
      <w:marLeft w:val="0"/>
      <w:marRight w:val="0"/>
      <w:marTop w:val="0"/>
      <w:marBottom w:val="0"/>
      <w:divBdr>
        <w:top w:val="none" w:sz="0" w:space="0" w:color="auto"/>
        <w:left w:val="none" w:sz="0" w:space="0" w:color="auto"/>
        <w:bottom w:val="none" w:sz="0" w:space="0" w:color="auto"/>
        <w:right w:val="none" w:sz="0" w:space="0" w:color="auto"/>
      </w:divBdr>
    </w:div>
    <w:div w:id="1950968869">
      <w:bodyDiv w:val="1"/>
      <w:marLeft w:val="0"/>
      <w:marRight w:val="0"/>
      <w:marTop w:val="0"/>
      <w:marBottom w:val="0"/>
      <w:divBdr>
        <w:top w:val="none" w:sz="0" w:space="0" w:color="auto"/>
        <w:left w:val="none" w:sz="0" w:space="0" w:color="auto"/>
        <w:bottom w:val="none" w:sz="0" w:space="0" w:color="auto"/>
        <w:right w:val="none" w:sz="0" w:space="0" w:color="auto"/>
      </w:divBdr>
    </w:div>
    <w:div w:id="2003924561">
      <w:bodyDiv w:val="1"/>
      <w:marLeft w:val="0"/>
      <w:marRight w:val="0"/>
      <w:marTop w:val="0"/>
      <w:marBottom w:val="0"/>
      <w:divBdr>
        <w:top w:val="none" w:sz="0" w:space="0" w:color="auto"/>
        <w:left w:val="none" w:sz="0" w:space="0" w:color="auto"/>
        <w:bottom w:val="none" w:sz="0" w:space="0" w:color="auto"/>
        <w:right w:val="none" w:sz="0" w:space="0" w:color="auto"/>
      </w:divBdr>
    </w:div>
    <w:div w:id="2006276501">
      <w:bodyDiv w:val="1"/>
      <w:marLeft w:val="0"/>
      <w:marRight w:val="0"/>
      <w:marTop w:val="0"/>
      <w:marBottom w:val="0"/>
      <w:divBdr>
        <w:top w:val="none" w:sz="0" w:space="0" w:color="auto"/>
        <w:left w:val="none" w:sz="0" w:space="0" w:color="auto"/>
        <w:bottom w:val="none" w:sz="0" w:space="0" w:color="auto"/>
        <w:right w:val="none" w:sz="0" w:space="0" w:color="auto"/>
      </w:divBdr>
    </w:div>
    <w:div w:id="2019304831">
      <w:bodyDiv w:val="1"/>
      <w:marLeft w:val="0"/>
      <w:marRight w:val="0"/>
      <w:marTop w:val="0"/>
      <w:marBottom w:val="0"/>
      <w:divBdr>
        <w:top w:val="none" w:sz="0" w:space="0" w:color="auto"/>
        <w:left w:val="none" w:sz="0" w:space="0" w:color="auto"/>
        <w:bottom w:val="none" w:sz="0" w:space="0" w:color="auto"/>
        <w:right w:val="none" w:sz="0" w:space="0" w:color="auto"/>
      </w:divBdr>
    </w:div>
    <w:div w:id="2046057578">
      <w:bodyDiv w:val="1"/>
      <w:marLeft w:val="0"/>
      <w:marRight w:val="0"/>
      <w:marTop w:val="0"/>
      <w:marBottom w:val="0"/>
      <w:divBdr>
        <w:top w:val="none" w:sz="0" w:space="0" w:color="auto"/>
        <w:left w:val="none" w:sz="0" w:space="0" w:color="auto"/>
        <w:bottom w:val="none" w:sz="0" w:space="0" w:color="auto"/>
        <w:right w:val="none" w:sz="0" w:space="0" w:color="auto"/>
      </w:divBdr>
    </w:div>
    <w:div w:id="2047100296">
      <w:bodyDiv w:val="1"/>
      <w:marLeft w:val="0"/>
      <w:marRight w:val="0"/>
      <w:marTop w:val="0"/>
      <w:marBottom w:val="0"/>
      <w:divBdr>
        <w:top w:val="none" w:sz="0" w:space="0" w:color="auto"/>
        <w:left w:val="none" w:sz="0" w:space="0" w:color="auto"/>
        <w:bottom w:val="none" w:sz="0" w:space="0" w:color="auto"/>
        <w:right w:val="none" w:sz="0" w:space="0" w:color="auto"/>
      </w:divBdr>
    </w:div>
    <w:div w:id="2074230536">
      <w:bodyDiv w:val="1"/>
      <w:marLeft w:val="0"/>
      <w:marRight w:val="0"/>
      <w:marTop w:val="0"/>
      <w:marBottom w:val="0"/>
      <w:divBdr>
        <w:top w:val="none" w:sz="0" w:space="0" w:color="auto"/>
        <w:left w:val="none" w:sz="0" w:space="0" w:color="auto"/>
        <w:bottom w:val="none" w:sz="0" w:space="0" w:color="auto"/>
        <w:right w:val="none" w:sz="0" w:space="0" w:color="auto"/>
      </w:divBdr>
    </w:div>
    <w:div w:id="2104497154">
      <w:bodyDiv w:val="1"/>
      <w:marLeft w:val="0"/>
      <w:marRight w:val="0"/>
      <w:marTop w:val="0"/>
      <w:marBottom w:val="0"/>
      <w:divBdr>
        <w:top w:val="none" w:sz="0" w:space="0" w:color="auto"/>
        <w:left w:val="none" w:sz="0" w:space="0" w:color="auto"/>
        <w:bottom w:val="none" w:sz="0" w:space="0" w:color="auto"/>
        <w:right w:val="none" w:sz="0" w:space="0" w:color="auto"/>
      </w:divBdr>
    </w:div>
    <w:div w:id="2110656280">
      <w:bodyDiv w:val="1"/>
      <w:marLeft w:val="0"/>
      <w:marRight w:val="0"/>
      <w:marTop w:val="0"/>
      <w:marBottom w:val="0"/>
      <w:divBdr>
        <w:top w:val="none" w:sz="0" w:space="0" w:color="auto"/>
        <w:left w:val="none" w:sz="0" w:space="0" w:color="auto"/>
        <w:bottom w:val="none" w:sz="0" w:space="0" w:color="auto"/>
        <w:right w:val="none" w:sz="0" w:space="0" w:color="auto"/>
      </w:divBdr>
      <w:divsChild>
        <w:div w:id="175465229">
          <w:marLeft w:val="0"/>
          <w:marRight w:val="0"/>
          <w:marTop w:val="0"/>
          <w:marBottom w:val="0"/>
          <w:divBdr>
            <w:top w:val="none" w:sz="0" w:space="0" w:color="auto"/>
            <w:left w:val="none" w:sz="0" w:space="0" w:color="auto"/>
            <w:bottom w:val="none" w:sz="0" w:space="0" w:color="auto"/>
            <w:right w:val="none" w:sz="0" w:space="0" w:color="auto"/>
          </w:divBdr>
        </w:div>
        <w:div w:id="2131123710">
          <w:marLeft w:val="0"/>
          <w:marRight w:val="0"/>
          <w:marTop w:val="0"/>
          <w:marBottom w:val="0"/>
          <w:divBdr>
            <w:top w:val="none" w:sz="0" w:space="0" w:color="auto"/>
            <w:left w:val="none" w:sz="0" w:space="0" w:color="auto"/>
            <w:bottom w:val="none" w:sz="0" w:space="0" w:color="auto"/>
            <w:right w:val="none" w:sz="0" w:space="0" w:color="auto"/>
          </w:divBdr>
        </w:div>
        <w:div w:id="80302767">
          <w:marLeft w:val="0"/>
          <w:marRight w:val="0"/>
          <w:marTop w:val="0"/>
          <w:marBottom w:val="0"/>
          <w:divBdr>
            <w:top w:val="none" w:sz="0" w:space="0" w:color="auto"/>
            <w:left w:val="none" w:sz="0" w:space="0" w:color="auto"/>
            <w:bottom w:val="none" w:sz="0" w:space="0" w:color="auto"/>
            <w:right w:val="none" w:sz="0" w:space="0" w:color="auto"/>
          </w:divBdr>
        </w:div>
        <w:div w:id="591860621">
          <w:marLeft w:val="0"/>
          <w:marRight w:val="0"/>
          <w:marTop w:val="0"/>
          <w:marBottom w:val="0"/>
          <w:divBdr>
            <w:top w:val="none" w:sz="0" w:space="0" w:color="auto"/>
            <w:left w:val="none" w:sz="0" w:space="0" w:color="auto"/>
            <w:bottom w:val="none" w:sz="0" w:space="0" w:color="auto"/>
            <w:right w:val="none" w:sz="0" w:space="0" w:color="auto"/>
          </w:divBdr>
        </w:div>
      </w:divsChild>
    </w:div>
    <w:div w:id="2116316996">
      <w:bodyDiv w:val="1"/>
      <w:marLeft w:val="0"/>
      <w:marRight w:val="0"/>
      <w:marTop w:val="0"/>
      <w:marBottom w:val="0"/>
      <w:divBdr>
        <w:top w:val="none" w:sz="0" w:space="0" w:color="auto"/>
        <w:left w:val="none" w:sz="0" w:space="0" w:color="auto"/>
        <w:bottom w:val="none" w:sz="0" w:space="0" w:color="auto"/>
        <w:right w:val="none" w:sz="0" w:space="0" w:color="auto"/>
      </w:divBdr>
    </w:div>
    <w:div w:id="2127002509">
      <w:bodyDiv w:val="1"/>
      <w:marLeft w:val="0"/>
      <w:marRight w:val="0"/>
      <w:marTop w:val="0"/>
      <w:marBottom w:val="0"/>
      <w:divBdr>
        <w:top w:val="none" w:sz="0" w:space="0" w:color="auto"/>
        <w:left w:val="none" w:sz="0" w:space="0" w:color="auto"/>
        <w:bottom w:val="none" w:sz="0" w:space="0" w:color="auto"/>
        <w:right w:val="none" w:sz="0" w:space="0" w:color="auto"/>
      </w:divBdr>
    </w:div>
    <w:div w:id="213597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gov.br/en/web/dou/-/instrucao-normativa-n-84-de-22-de-abril-de-2020-254756795" TargetMode="External"/><Relationship Id="rId21" Type="http://schemas.openxmlformats.org/officeDocument/2006/relationships/hyperlink" Target="http://www.planalto.gov.br/ccivil_03/leis/l5010.htm" TargetMode="External"/><Relationship Id="rId42" Type="http://schemas.openxmlformats.org/officeDocument/2006/relationships/hyperlink" Target="https://portal.trf1.jus.br/dspace/bitstream/123/36543/5/IN_14-15_2018.pdf" TargetMode="External"/><Relationship Id="rId47" Type="http://schemas.openxmlformats.org/officeDocument/2006/relationships/hyperlink" Target="https://sei.trf6.jus.br/sei/controlador.php?acao=protocolo_visualizar&amp;id_protocolo=957604&amp;id_procedimento_atual=1810248&amp;infra_sistema=100000100&amp;infra_unidade_atual=110001242&amp;infra_hash=aa5528a56abfca0b9ff48016203aecf7de0de37bdf8f854c8aa431c2515c0d8306cc63bc158d935bf41cc2b79a14e2ee6bf0667acc581c0dbf0f5b87d6f177b951b32fe1adbefdda5d4297f6b136afbb79cdbd8a2e73e4303c403ec547db7679" TargetMode="External"/><Relationship Id="rId63" Type="http://schemas.openxmlformats.org/officeDocument/2006/relationships/hyperlink" Target="https://www.cjf.jus.br/cjf/unidades/controle-interno/normatizacao/resolucao-cjf-n-676-2020-sistema-de-auditoria-interna" TargetMode="External"/><Relationship Id="rId68" Type="http://schemas.openxmlformats.org/officeDocument/2006/relationships/hyperlink" Target="https://portal.trf1.jus.br/dspace/handle/123/36145" TargetMode="External"/><Relationship Id="rId16" Type="http://schemas.openxmlformats.org/officeDocument/2006/relationships/hyperlink" Target="https://www.in.gov.br/en/web/dou/-/lei-n-14.226-de-20-de-outubro-de-2021-353673576" TargetMode="External"/><Relationship Id="rId11" Type="http://schemas.openxmlformats.org/officeDocument/2006/relationships/hyperlink" Target="http://www.planalto.gov.br/ccivil_03/constituicao/ConstituicaoCompilado.htm" TargetMode="External"/><Relationship Id="rId32" Type="http://schemas.openxmlformats.org/officeDocument/2006/relationships/hyperlink" Target="https://www.planalto.gov.br/ccivil_03/_Ato2023-2026/2024/Decreto/D12343.htm" TargetMode="External"/><Relationship Id="rId37" Type="http://schemas.openxmlformats.org/officeDocument/2006/relationships/hyperlink" Target="https://portal.trf1.jus.br/dspace/bitstream/123/36543/5/IN_14-15_2018.pdf" TargetMode="External"/><Relationship Id="rId53" Type="http://schemas.openxmlformats.org/officeDocument/2006/relationships/hyperlink" Target="https://www2.cfc.org.br/sisweb/sre/detalhes_sre.aspx?Codigo=2016/NBCTA700" TargetMode="External"/><Relationship Id="rId58" Type="http://schemas.openxmlformats.org/officeDocument/2006/relationships/hyperlink" Target="https://pesquisa.apps.tcu.gov.br/documento/norma/*/COPIATIPONORMA:%28%22Decis%C3%A3o%20Normativa%22%29%20COPIAORIGEM:%28TCU%29%20NUMNORMA:198%20ANONORMA:2022/DATANORMAORDENACAO%20desc/0" TargetMode="External"/><Relationship Id="rId74" Type="http://schemas.openxmlformats.org/officeDocument/2006/relationships/hyperlink" Target="https://www.cnj.jus.br/wp-content/uploads/2023/04/manual-de-auditoria-pjr-23-05-24-1.pdf" TargetMode="External"/><Relationship Id="rId79" Type="http://schemas.openxmlformats.org/officeDocument/2006/relationships/hyperlink" Target="https://repositorio.cgu.gov.br/handle/1/44974" TargetMode="External"/><Relationship Id="rId5" Type="http://schemas.openxmlformats.org/officeDocument/2006/relationships/webSettings" Target="webSettings.xml"/><Relationship Id="rId61" Type="http://schemas.openxmlformats.org/officeDocument/2006/relationships/hyperlink" Target="https://atos.cnj.jus.br/files/compilado1407202025090268b6fa18a5ff2.pdf" TargetMode="External"/><Relationship Id="rId82" Type="http://schemas.openxmlformats.org/officeDocument/2006/relationships/fontTable" Target="fontTable.xml"/><Relationship Id="rId19" Type="http://schemas.openxmlformats.org/officeDocument/2006/relationships/hyperlink" Target="https://www.cjf.jus.br/publico/biblioteca/PPR%20386-2022.pdf" TargetMode="External"/><Relationship Id="rId14" Type="http://schemas.openxmlformats.org/officeDocument/2006/relationships/hyperlink" Target="https://www.in.gov.br/en/web/dou/-/instrucao-normativa-n-84-de-22-de-abril-de-2020-254756795" TargetMode="External"/><Relationship Id="rId22" Type="http://schemas.openxmlformats.org/officeDocument/2006/relationships/hyperlink" Target="https://portal.trf6.jus.br/" TargetMode="External"/><Relationship Id="rId27" Type="http://schemas.openxmlformats.org/officeDocument/2006/relationships/hyperlink" Target="https://pesquisa.apps.tcu.gov.br/documento/norma/*/COPIATIPONORMA:%28%22Decis%C3%A3o%20Normativa%22%29%20COPIAORIGEM:%28TCU%29%20NUMNORMA:198%20ANONORMA:2022/DATANORMAORDENACAO%20desc/0" TargetMode="External"/><Relationship Id="rId30" Type="http://schemas.openxmlformats.org/officeDocument/2006/relationships/hyperlink" Target="https://www2.cfc.org.br/sisweb/sre/detalhes_sre.aspx?Codigo=2009/001210" TargetMode="External"/><Relationship Id="rId35" Type="http://schemas.openxmlformats.org/officeDocument/2006/relationships/hyperlink" Target="https://www.cjf.jus.br/publico/biblioteca/Res%20880-2024.pdf" TargetMode="External"/><Relationship Id="rId43" Type="http://schemas.openxmlformats.org/officeDocument/2006/relationships/hyperlink" Target="https://portal.trf1.jus.br/dspace/bitstream/123/36543/5/IN_14-15_2018.pdf" TargetMode="External"/><Relationship Id="rId48" Type="http://schemas.openxmlformats.org/officeDocument/2006/relationships/hyperlink" Target="https://www.gov.br/gestao/pt-br/assuntos/patrimonio-da-uniao/transformacao-digital/desligamentosistemas2" TargetMode="External"/><Relationship Id="rId56" Type="http://schemas.openxmlformats.org/officeDocument/2006/relationships/hyperlink" Target="https://www1.cfc.org.br/sisweb/sre/detalhes_sre.aspx?codigo=2016/NBCTA320(R1)" TargetMode="External"/><Relationship Id="rId64" Type="http://schemas.openxmlformats.org/officeDocument/2006/relationships/hyperlink" Target="https://www.cjf.jus.br/cjf/unidades/controle-interno/normatizacao/resolucao-n-677-2020-estatuto-da-atividade-de-auditoria-interna" TargetMode="External"/><Relationship Id="rId69" Type="http://schemas.openxmlformats.org/officeDocument/2006/relationships/hyperlink" Target="https://portal.trf1.jus.br/dspace/handle/123/36145" TargetMode="External"/><Relationship Id="rId77" Type="http://schemas.openxmlformats.org/officeDocument/2006/relationships/hyperlink" Target="https://www.cjf.jus.br/publico/biblioteca/Res%20709-2021.pdf" TargetMode="External"/><Relationship Id="rId8" Type="http://schemas.openxmlformats.org/officeDocument/2006/relationships/hyperlink" Target="https://www.in.gov.br/en/web/dou/-/instrucao-normativa-n-84-de-22-de-abril-de-2020-254756795" TargetMode="External"/><Relationship Id="rId51" Type="http://schemas.openxmlformats.org/officeDocument/2006/relationships/hyperlink" Target="https://www.in.gov.br/en/web/dou/-/instrucao-normativa-n-84-de-22-de-abril-de-2020-254756795" TargetMode="External"/><Relationship Id="rId72" Type="http://schemas.openxmlformats.org/officeDocument/2006/relationships/hyperlink" Target="https://www.cjf.jus.br/cjf/unidades/controle-interno/normatizacao/resolucao-cjf-n-676-2020-sistema-de-auditoria-interna" TargetMode="External"/><Relationship Id="rId80" Type="http://schemas.openxmlformats.org/officeDocument/2006/relationships/hyperlink" Target="https://pesquisa.apps.tcu.gov.br/" TargetMode="External"/><Relationship Id="rId3" Type="http://schemas.openxmlformats.org/officeDocument/2006/relationships/styles" Target="styles.xml"/><Relationship Id="rId12" Type="http://schemas.openxmlformats.org/officeDocument/2006/relationships/hyperlink" Target="https://www.in.gov.br/en/web/dou/-/instrucao-normativa-n-84-de-22-de-abril-de-2020-254756795" TargetMode="External"/><Relationship Id="rId17" Type="http://schemas.openxmlformats.org/officeDocument/2006/relationships/hyperlink" Target="https://www.cjf.jus.br/publico/biblioteca/Res%20742-2021.pdf" TargetMode="External"/><Relationship Id="rId25" Type="http://schemas.openxmlformats.org/officeDocument/2006/relationships/hyperlink" Target="https://www2.cfc.org.br/sisweb/sre/detalhes_sre.aspx?Codigo=2021/NBCTA220(R3)&amp;arquivo=NBCTA220%20(R3).doc" TargetMode="External"/><Relationship Id="rId33" Type="http://schemas.openxmlformats.org/officeDocument/2006/relationships/hyperlink" Target="https://www.cjf.jus.br/publico/biblioteca/Res%20880-2024.pdf" TargetMode="External"/><Relationship Id="rId38" Type="http://schemas.openxmlformats.org/officeDocument/2006/relationships/hyperlink" Target="https://www.cjf.jus.br/publico/biblioteca/Res%20880-2024.pdf" TargetMode="External"/><Relationship Id="rId46" Type="http://schemas.openxmlformats.org/officeDocument/2006/relationships/hyperlink" Target="https://www.gov.br/gestao/pt-br/assuntos/patrimonio-da-uniao/transformacao-digital/desligamentosistemas2" TargetMode="External"/><Relationship Id="rId59" Type="http://schemas.openxmlformats.org/officeDocument/2006/relationships/hyperlink" Target="https://pesquisa.apps.tcu.gov.br/documento/norma/*/COPIATIPONORMA:%28%22Decis%C3%A3o%20Normativa%22%29%20COPIAORIGEM:%28TCU%29%20NUMNORMA:198%20ANONORMA:2022/DATANORMAORDENACAO%20desc/0" TargetMode="External"/><Relationship Id="rId67" Type="http://schemas.openxmlformats.org/officeDocument/2006/relationships/hyperlink" Target="https://www.cjf.jus.br/publico/biblioteca/IN%2004-01-2010%20alt.pdf" TargetMode="External"/><Relationship Id="rId20" Type="http://schemas.openxmlformats.org/officeDocument/2006/relationships/hyperlink" Target="https://www.cjf.jus.br/publico/biblioteca/Res%20742-2021.pdf" TargetMode="External"/><Relationship Id="rId41" Type="http://schemas.openxmlformats.org/officeDocument/2006/relationships/hyperlink" Target="https://portal.trf1.jus.br/dspace/handle/123/122834" TargetMode="External"/><Relationship Id="rId54" Type="http://schemas.openxmlformats.org/officeDocument/2006/relationships/hyperlink" Target="https://www.in.gov.br/en/web/dou/-/instrucao-normativa-n-84-de-22-de-abril-de-2020-254756795" TargetMode="External"/><Relationship Id="rId62" Type="http://schemas.openxmlformats.org/officeDocument/2006/relationships/hyperlink" Target="https://atos.cnj.jus.br/files/compilado1449152025090268b703ebeb2fc.pdf" TargetMode="External"/><Relationship Id="rId70" Type="http://schemas.openxmlformats.org/officeDocument/2006/relationships/hyperlink" Target="https://atos.cnj.jus.br/files/compilado1407202025090268b6fa18a5ff2.pdf" TargetMode="External"/><Relationship Id="rId75" Type="http://schemas.openxmlformats.org/officeDocument/2006/relationships/hyperlink" Target="https://www.cjf.jus.br/publico/biblioteca/Res%20798-2022.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in.gov.br/en/web/dou/-/instrucao-normativa-n-84-de-22-de-abril-de-2020-254756795" TargetMode="External"/><Relationship Id="rId23" Type="http://schemas.openxmlformats.org/officeDocument/2006/relationships/chart" Target="charts/chart1.xml"/><Relationship Id="rId28" Type="http://schemas.openxmlformats.org/officeDocument/2006/relationships/hyperlink" Target="https://cnm.org.br/storage/noticias/2024/Links/MCASP%20-%2011%C2%AA%20Edi%C3%A7%C3%A3o.pdf" TargetMode="External"/><Relationship Id="rId36" Type="http://schemas.openxmlformats.org/officeDocument/2006/relationships/hyperlink" Target="https://www.trf1.jus.br/trf1/auditoria-interna-e-controle-externo/julgamento-das-contas-pelo-tcu" TargetMode="External"/><Relationship Id="rId49" Type="http://schemas.openxmlformats.org/officeDocument/2006/relationships/hyperlink" Target="https://www2.cfc.org.br/sisweb/sre/detalhes_sre.aspx?Codigo=2016/NBCTA701" TargetMode="External"/><Relationship Id="rId57" Type="http://schemas.openxmlformats.org/officeDocument/2006/relationships/hyperlink" Target="https://pesquisa.apps.tcu.gov.br/documento/norma/*/COPIATIPONORMA:%28%22Decis%C3%A3o%20Normativa%22%29%20COPIAORIGEM:%28TCU%29%20NUMNORMA:198%20ANONORMA:2022/DATANORMAORDENACAO%20desc/0" TargetMode="External"/><Relationship Id="rId10" Type="http://schemas.openxmlformats.org/officeDocument/2006/relationships/hyperlink" Target="https://www.in.gov.br/en/web/dou/-/instrucao-normativa-n-84-de-22-de-abril-de-2020-254756795" TargetMode="External"/><Relationship Id="rId31" Type="http://schemas.openxmlformats.org/officeDocument/2006/relationships/hyperlink" Target="https://www.cjf.jus.br/publico/biblioteca/Res%20880-2024.pdf" TargetMode="External"/><Relationship Id="rId44" Type="http://schemas.openxmlformats.org/officeDocument/2006/relationships/hyperlink" Target="https://www.gov.br/gestao/pt-br/assuntos/patrimonio-da-uniao/transformacao-digital/desligamentosistemas2" TargetMode="External"/><Relationship Id="rId52" Type="http://schemas.openxmlformats.org/officeDocument/2006/relationships/hyperlink" Target="https://www2.cfc.org.br/sisweb/sre/detalhes_sre.aspx?Codigo=2016/NBCTA330(R1)" TargetMode="External"/><Relationship Id="rId60" Type="http://schemas.openxmlformats.org/officeDocument/2006/relationships/hyperlink" Target="https://www2.cfc.org.br/sisweb/sre/detalhes_sre.aspx?Codigo=2016/NBCTA330(R1)" TargetMode="External"/><Relationship Id="rId65" Type="http://schemas.openxmlformats.org/officeDocument/2006/relationships/hyperlink" Target="https://www.cnj.jus.br/wp-content/uploads/2023/04/manual-de-auditoria-pjr-23-05-24-1.pdf" TargetMode="External"/><Relationship Id="rId73" Type="http://schemas.openxmlformats.org/officeDocument/2006/relationships/hyperlink" Target="https://www.cjf.jus.br/cjf/unidades/controle-interno/normatizacao/resolucao-n-677-2020-estatuto-da-atividade-de-auditoria-interna" TargetMode="External"/><Relationship Id="rId78" Type="http://schemas.openxmlformats.org/officeDocument/2006/relationships/hyperlink" Target="https://portal.tcu.gov.br/biblioteca-digital/normas-de-auditoria-do-tribunal-de-contas-da-uniao-nat.htm" TargetMode="External"/><Relationship Id="rId8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in.gov.br/en/web/dou/-/instrucao-normativa-n-84-de-22-de-abril-de-2020-254756795" TargetMode="External"/><Relationship Id="rId13" Type="http://schemas.openxmlformats.org/officeDocument/2006/relationships/hyperlink" Target="https://www.planalto.gov.br/ccivil_03/leis/l8443.htm" TargetMode="External"/><Relationship Id="rId18" Type="http://schemas.openxmlformats.org/officeDocument/2006/relationships/hyperlink" Target="https://www.cjf.jus.br/publico/biblioteca/Res%20787-2022.pdf" TargetMode="External"/><Relationship Id="rId39" Type="http://schemas.openxmlformats.org/officeDocument/2006/relationships/hyperlink" Target="https://portal.trf1.jus.br/dspace/bitstream/123/36543/5/IN_14-15_2018.pdf" TargetMode="External"/><Relationship Id="rId34" Type="http://schemas.openxmlformats.org/officeDocument/2006/relationships/hyperlink" Target="https://www.cjf.jus.br/publico/biblioteca/Res%20880-2024.pdf" TargetMode="External"/><Relationship Id="rId50" Type="http://schemas.openxmlformats.org/officeDocument/2006/relationships/hyperlink" Target="http://www.planalto.gov.br/ccivil_03/constituicao/ConstituicaoCompilado.htm" TargetMode="External"/><Relationship Id="rId55" Type="http://schemas.openxmlformats.org/officeDocument/2006/relationships/hyperlink" Target="https://portal.trf1.jus.br/dspace/bitstream/123/36543/5/IN_14-15_2018.pdf" TargetMode="External"/><Relationship Id="rId76" Type="http://schemas.openxmlformats.org/officeDocument/2006/relationships/hyperlink" Target="https://sei.trf6.jus.br/sei/controlador.php?acao=protocolo_visualizar&amp;id_protocolo=967460&amp;id_procedimento_atual=1452814&amp;infra_sistema=100000100&amp;infra_unidade_atual=110001242&amp;infra_hash=3448237b51692f6755c53342da27d3a00f2249a3ca18fa1b55e2763adc87576ae8fa7ae8d857c2bb810a465fde9fb3d26735992303f34cd40f05879e45133f3776a0d68d5ece38d095c5e414befae27627b09ae5fe5181f3f37f9145f108a923" TargetMode="External"/><Relationship Id="rId7" Type="http://schemas.openxmlformats.org/officeDocument/2006/relationships/image" Target="media/image2.png"/><Relationship Id="rId71" Type="http://schemas.openxmlformats.org/officeDocument/2006/relationships/hyperlink" Target="https://atos.cnj.jus.br/files/compilado1449152025090268b703ebeb2fc.pdf" TargetMode="External"/><Relationship Id="rId2" Type="http://schemas.openxmlformats.org/officeDocument/2006/relationships/numbering" Target="numbering.xml"/><Relationship Id="rId29" Type="http://schemas.openxmlformats.org/officeDocument/2006/relationships/hyperlink" Target="https://www2.cfc.org.br/sisweb/sre/detalhes_sre.aspx?Codigo=2018/NBCTSP11&amp;arquivo=NBCTSP11.doc" TargetMode="External"/><Relationship Id="rId24" Type="http://schemas.openxmlformats.org/officeDocument/2006/relationships/hyperlink" Target="https://cnm.org.br/storage/noticias/2024/Links/MCASP%20-%2011%C2%AA%20Edi%C3%A7%C3%A3o.pdf" TargetMode="External"/><Relationship Id="rId40" Type="http://schemas.openxmlformats.org/officeDocument/2006/relationships/hyperlink" Target="https://www.cjf.jus.br/publico/biblioteca/Res%20880-2024.pdf" TargetMode="External"/><Relationship Id="rId45" Type="http://schemas.openxmlformats.org/officeDocument/2006/relationships/hyperlink" Target="https://www.gov.br/gestao/pt-br/assuntos/patrimonio-da-uniao/transformacao-digital/desligamentosistemas2" TargetMode="External"/><Relationship Id="rId66" Type="http://schemas.openxmlformats.org/officeDocument/2006/relationships/hyperlink" Target="https://www.cjf.jus.br/publico/biblioteca/IN%2004-01-2010%20al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SEAUG\AUDITORIAS\2025\Auditoria%20Financeira%202025\Relat&#243;rios\Tabelas%20a%20serem%20inseridas%20no%20relat&#243;rio%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sz="1400"/>
              <a:t>Despesas liquidadas</a:t>
            </a:r>
          </a:p>
        </c:rich>
      </c:tx>
      <c:layout>
        <c:manualLayout>
          <c:xMode val="edge"/>
          <c:yMode val="edge"/>
          <c:x val="0.35013902689523302"/>
          <c:y val="1.071984158268754E-2"/>
        </c:manualLayout>
      </c:layout>
      <c:overlay val="0"/>
      <c:spPr>
        <a:noFill/>
        <a:ln>
          <a:noFill/>
        </a:ln>
        <a:effectLst/>
      </c:spPr>
    </c:title>
    <c:autoTitleDeleted val="0"/>
    <c:view3D>
      <c:rotX val="40"/>
      <c:rotY val="0"/>
      <c:depthPercent val="100"/>
      <c:rAngAx val="0"/>
      <c:perspective val="2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18916842711734"/>
          <c:y val="0.11476434496281397"/>
          <c:w val="0.63699386562092697"/>
          <c:h val="0.73497271427202315"/>
        </c:manualLayout>
      </c:layout>
      <c:pie3DChart>
        <c:varyColors val="1"/>
        <c:ser>
          <c:idx val="0"/>
          <c:order val="0"/>
          <c:tx>
            <c:strRef>
              <c:f>'Relatório final'!$B$1</c:f>
              <c:strCache>
                <c:ptCount val="1"/>
                <c:pt idx="0">
                  <c:v>Despesas liquidadas</c:v>
                </c:pt>
              </c:strCache>
            </c:strRef>
          </c:tx>
          <c:explosion val="25"/>
          <c:dPt>
            <c:idx val="0"/>
            <c:bubble3D val="0"/>
            <c:spPr>
              <a:solidFill>
                <a:schemeClr val="accent6"/>
              </a:solidFill>
              <a:ln>
                <a:noFill/>
              </a:ln>
              <a:effectLst/>
              <a:sp3d/>
            </c:spPr>
            <c:extLst>
              <c:ext xmlns:c16="http://schemas.microsoft.com/office/drawing/2014/chart" uri="{C3380CC4-5D6E-409C-BE32-E72D297353CC}">
                <c16:uniqueId val="{00000000-CE3A-4666-96FD-A016085ED998}"/>
              </c:ext>
            </c:extLst>
          </c:dPt>
          <c:dPt>
            <c:idx val="1"/>
            <c:bubble3D val="0"/>
            <c:spPr>
              <a:solidFill>
                <a:schemeClr val="accent5"/>
              </a:solidFill>
              <a:ln>
                <a:noFill/>
              </a:ln>
              <a:effectLst/>
              <a:sp3d/>
            </c:spPr>
            <c:extLst>
              <c:ext xmlns:c16="http://schemas.microsoft.com/office/drawing/2014/chart" uri="{C3380CC4-5D6E-409C-BE32-E72D297353CC}">
                <c16:uniqueId val="{00000001-CE3A-4666-96FD-A016085ED998}"/>
              </c:ext>
            </c:extLst>
          </c:dPt>
          <c:dPt>
            <c:idx val="2"/>
            <c:bubble3D val="0"/>
            <c:spPr>
              <a:solidFill>
                <a:schemeClr val="accent4"/>
              </a:solidFill>
              <a:ln>
                <a:noFill/>
              </a:ln>
              <a:effectLst/>
              <a:sp3d/>
            </c:spPr>
            <c:extLst>
              <c:ext xmlns:c16="http://schemas.microsoft.com/office/drawing/2014/chart" uri="{C3380CC4-5D6E-409C-BE32-E72D297353CC}">
                <c16:uniqueId val="{00000002-CE3A-4666-96FD-A016085ED998}"/>
              </c:ext>
            </c:extLst>
          </c:dPt>
          <c:dLbls>
            <c:dLbl>
              <c:idx val="0"/>
              <c:layout>
                <c:manualLayout>
                  <c:x val="-0.18937418411450765"/>
                  <c:y val="-0.25794766725587875"/>
                </c:manualLayout>
              </c:layout>
              <c:tx>
                <c:rich>
                  <a:bodyPr/>
                  <a:lstStyle/>
                  <a:p>
                    <a:fld id="{9C26730A-F516-4046-A438-32E3661B9AA1}" type="VALUE">
                      <a:rPr lang="en-US"/>
                      <a:pPr/>
                      <a:t>[VALOR]</a:t>
                    </a:fld>
                    <a:r>
                      <a:rPr lang="en-US" baseline="0"/>
                      <a:t> </a:t>
                    </a:r>
                    <a:fld id="{BA85BFBA-914E-414D-BEB6-867018B1ECD8}" type="PERCENTAGE">
                      <a:rPr lang="en-US" b="1" baseline="0"/>
                      <a:pPr/>
                      <a:t>[PORCENTAGEM]</a:t>
                    </a:fld>
                    <a:endParaRPr lang="en-US" baseline="0"/>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0-CE3A-4666-96FD-A016085ED998}"/>
                </c:ext>
              </c:extLst>
            </c:dLbl>
            <c:dLbl>
              <c:idx val="1"/>
              <c:layout>
                <c:manualLayout>
                  <c:x val="3.3019941048669441E-2"/>
                  <c:y val="9.4885907118753013E-2"/>
                </c:manualLayout>
              </c:layout>
              <c:tx>
                <c:rich>
                  <a:bodyPr/>
                  <a:lstStyle/>
                  <a:p>
                    <a:fld id="{DD6B6E73-3C6F-490D-B9BE-DC6EA6A667E2}" type="VALUE">
                      <a:rPr lang="en-US"/>
                      <a:pPr/>
                      <a:t>[VALOR]</a:t>
                    </a:fld>
                    <a:r>
                      <a:rPr lang="en-US" baseline="0"/>
                      <a:t> </a:t>
                    </a:r>
                    <a:fld id="{CC69C0B5-36ED-4817-A8A3-B3467833138A}" type="PERCENTAGE">
                      <a:rPr lang="en-US" b="1" baseline="0"/>
                      <a:pPr/>
                      <a:t>[PORCENTAGEM]</a:t>
                    </a:fld>
                    <a:endParaRPr lang="en-US" baseline="0"/>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CE3A-4666-96FD-A016085ED998}"/>
                </c:ext>
              </c:extLst>
            </c:dLbl>
            <c:dLbl>
              <c:idx val="2"/>
              <c:layout>
                <c:manualLayout>
                  <c:x val="6.9169561186222542E-2"/>
                  <c:y val="0.12694841716214045"/>
                </c:manualLayout>
              </c:layout>
              <c:tx>
                <c:rich>
                  <a:bodyPr/>
                  <a:lstStyle/>
                  <a:p>
                    <a:fld id="{DD27A99D-2011-4D2A-9E25-EC1FFC67028F}" type="VALUE">
                      <a:rPr lang="en-US"/>
                      <a:pPr/>
                      <a:t>[VALOR]</a:t>
                    </a:fld>
                    <a:r>
                      <a:rPr lang="en-US" baseline="0"/>
                      <a:t> </a:t>
                    </a:r>
                    <a:fld id="{846A1683-2AED-4B5D-AA6F-276C80A042BF}" type="PERCENTAGE">
                      <a:rPr lang="en-US" b="1" baseline="0"/>
                      <a:pPr/>
                      <a:t>[PORCENTAGEM]</a:t>
                    </a:fld>
                    <a:endParaRPr lang="en-US" baseline="0"/>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CE3A-4666-96FD-A016085ED99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pt-BR"/>
              </a:p>
            </c:txPr>
            <c:dLblPos val="ct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'Relatório final'!$A$2:$A$4</c:f>
              <c:strCache>
                <c:ptCount val="3"/>
                <c:pt idx="0">
                  <c:v>1 - Pessoal</c:v>
                </c:pt>
                <c:pt idx="1">
                  <c:v>3 - Outras despesas correntes</c:v>
                </c:pt>
                <c:pt idx="2">
                  <c:v>4 - Investimento</c:v>
                </c:pt>
              </c:strCache>
            </c:strRef>
          </c:cat>
          <c:val>
            <c:numRef>
              <c:f>'Relatório final'!$B$2:$B$4</c:f>
              <c:numCache>
                <c:formatCode>"R$"\ 0,,\ "milhões"</c:formatCode>
                <c:ptCount val="3"/>
                <c:pt idx="0">
                  <c:v>969689278.38</c:v>
                </c:pt>
                <c:pt idx="1">
                  <c:v>257019463.34</c:v>
                </c:pt>
                <c:pt idx="2">
                  <c:v>3960370.78</c:v>
                </c:pt>
              </c:numCache>
            </c:numRef>
          </c:val>
          <c:extLst>
            <c:ext xmlns:c16="http://schemas.microsoft.com/office/drawing/2014/chart" uri="{C3380CC4-5D6E-409C-BE32-E72D297353CC}">
              <c16:uniqueId val="{00000003-CE3A-4666-96FD-A016085ED998}"/>
            </c:ext>
          </c:extLst>
        </c:ser>
        <c:ser>
          <c:idx val="1"/>
          <c:order val="1"/>
          <c:tx>
            <c:strRef>
              <c:f>'Relatório final'!$C$1</c:f>
              <c:strCache>
                <c:ptCount val="1"/>
                <c:pt idx="0">
                  <c:v>%</c:v>
                </c:pt>
              </c:strCache>
            </c:strRef>
          </c:tx>
          <c:explosion val="25"/>
          <c:dPt>
            <c:idx val="0"/>
            <c:bubble3D val="0"/>
            <c:spPr>
              <a:solidFill>
                <a:schemeClr val="accent6"/>
              </a:solidFill>
              <a:ln>
                <a:noFill/>
              </a:ln>
              <a:effectLst/>
              <a:sp3d/>
            </c:spPr>
            <c:extLst>
              <c:ext xmlns:c16="http://schemas.microsoft.com/office/drawing/2014/chart" uri="{C3380CC4-5D6E-409C-BE32-E72D297353CC}">
                <c16:uniqueId val="{00000007-BF0D-4122-8BC9-65D57D9305EB}"/>
              </c:ext>
            </c:extLst>
          </c:dPt>
          <c:dPt>
            <c:idx val="1"/>
            <c:bubble3D val="0"/>
            <c:spPr>
              <a:solidFill>
                <a:schemeClr val="accent5"/>
              </a:solidFill>
              <a:ln>
                <a:noFill/>
              </a:ln>
              <a:effectLst/>
              <a:sp3d/>
            </c:spPr>
            <c:extLst>
              <c:ext xmlns:c16="http://schemas.microsoft.com/office/drawing/2014/chart" uri="{C3380CC4-5D6E-409C-BE32-E72D297353CC}">
                <c16:uniqueId val="{00000009-BF0D-4122-8BC9-65D57D9305EB}"/>
              </c:ext>
            </c:extLst>
          </c:dPt>
          <c:dPt>
            <c:idx val="2"/>
            <c:bubble3D val="0"/>
            <c:spPr>
              <a:solidFill>
                <a:schemeClr val="accent4"/>
              </a:solidFill>
              <a:ln>
                <a:noFill/>
              </a:ln>
              <a:effectLst/>
              <a:sp3d/>
            </c:spPr>
            <c:extLst>
              <c:ext xmlns:c16="http://schemas.microsoft.com/office/drawing/2014/chart" uri="{C3380CC4-5D6E-409C-BE32-E72D297353CC}">
                <c16:uniqueId val="{0000000B-BF0D-4122-8BC9-65D57D9305EB}"/>
              </c:ext>
            </c:extLst>
          </c:dPt>
          <c:cat>
            <c:strRef>
              <c:f>'Relatório final'!$A$2:$A$4</c:f>
              <c:strCache>
                <c:ptCount val="3"/>
                <c:pt idx="0">
                  <c:v>1 - Pessoal</c:v>
                </c:pt>
                <c:pt idx="1">
                  <c:v>3 - Outras despesas correntes</c:v>
                </c:pt>
                <c:pt idx="2">
                  <c:v>4 - Investimento</c:v>
                </c:pt>
              </c:strCache>
            </c:strRef>
          </c:cat>
          <c:val>
            <c:numRef>
              <c:f>'Relatório final'!$C$2:$C$4</c:f>
              <c:numCache>
                <c:formatCode>0.00%</c:formatCode>
                <c:ptCount val="3"/>
                <c:pt idx="0">
                  <c:v>0.78793663425106886</c:v>
                </c:pt>
                <c:pt idx="1">
                  <c:v>0.20884530271332377</c:v>
                </c:pt>
                <c:pt idx="2">
                  <c:v>3.2180630356073879E-3</c:v>
                </c:pt>
              </c:numCache>
            </c:numRef>
          </c:val>
          <c:extLst>
            <c:ext xmlns:c16="http://schemas.microsoft.com/office/drawing/2014/chart" uri="{C3380CC4-5D6E-409C-BE32-E72D297353CC}">
              <c16:uniqueId val="{00000004-CE3A-4666-96FD-A016085ED998}"/>
            </c:ext>
          </c:extLst>
        </c:ser>
        <c:dLbls>
          <c:showLegendKey val="0"/>
          <c:showVal val="0"/>
          <c:showCatName val="0"/>
          <c:showSerName val="0"/>
          <c:showPercent val="0"/>
          <c:showBubbleSize val="0"/>
          <c:showLeaderLines val="0"/>
        </c:dLbls>
      </c:pie3DChart>
      <c:spPr>
        <a:gradFill flip="none" rotWithShape="1">
          <a:gsLst>
            <a:gs pos="31000">
              <a:schemeClr val="accent5">
                <a:lumMod val="20000"/>
                <a:lumOff val="80000"/>
              </a:schemeClr>
            </a:gs>
            <a:gs pos="50000">
              <a:srgbClr val="4472C4">
                <a:tint val="44500"/>
                <a:satMod val="160000"/>
              </a:srgbClr>
            </a:gs>
            <a:gs pos="100000">
              <a:srgbClr val="4472C4">
                <a:tint val="23500"/>
                <a:satMod val="160000"/>
              </a:srgbClr>
            </a:gs>
          </a:gsLst>
          <a:path path="rect">
            <a:fillToRect l="100000" t="100000"/>
          </a:path>
          <a:tileRect r="-100000" b="-100000"/>
        </a:gradFill>
        <a:ln>
          <a:solidFill>
            <a:schemeClr val="accent1"/>
          </a:solidFill>
        </a:ln>
        <a:effectLst>
          <a:outerShdw blurRad="50800" dist="50800" dir="5400000" algn="ctr" rotWithShape="0">
            <a:schemeClr val="accent1">
              <a:lumMod val="40000"/>
              <a:lumOff val="60000"/>
            </a:schemeClr>
          </a:outerShdw>
        </a:effectLst>
      </c:spPr>
    </c:plotArea>
    <c:legend>
      <c:legendPos val="b"/>
      <c:overlay val="0"/>
      <c:spPr>
        <a:pattFill prst="pct5">
          <a:fgClr>
            <a:schemeClr val="bg1">
              <a:lumMod val="75000"/>
            </a:schemeClr>
          </a:fgClr>
          <a:bgClr>
            <a:schemeClr val="bg1"/>
          </a:bgClr>
        </a:patt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legend>
    <c:plotVisOnly val="1"/>
    <c:dispBlanksAs val="zero"/>
    <c:showDLblsOverMax val="0"/>
  </c:chart>
  <c:spPr>
    <a:solidFill>
      <a:schemeClr val="bg1">
        <a:lumMod val="75000"/>
      </a:schemeClr>
    </a:solidFill>
    <a:ln w="6350" cap="flat" cmpd="sng" algn="ctr">
      <a:solidFill>
        <a:srgbClr val="4472C4">
          <a:alpha val="63000"/>
        </a:srgbClr>
      </a:solidFill>
      <a:prstDash val="solid"/>
      <a:round/>
    </a:ln>
    <a:effectLst>
      <a:outerShdw blurRad="50800" dist="50800" dir="5400000" algn="ctr" rotWithShape="0">
        <a:schemeClr val="bg1"/>
      </a:outerShdw>
    </a:effectLst>
    <a:scene3d>
      <a:camera prst="orthographicFront"/>
      <a:lightRig rig="threePt" dir="t"/>
    </a:scene3d>
    <a:sp3d/>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25C5-B377-4EB7-948B-DC191CCB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24984</Words>
  <Characters>134918</Characters>
  <Application>Microsoft Office Word</Application>
  <DocSecurity>0</DocSecurity>
  <Lines>1124</Lines>
  <Paragraphs>319</Paragraphs>
  <ScaleCrop>false</ScaleCrop>
  <HeadingPairs>
    <vt:vector size="2" baseType="variant">
      <vt:variant>
        <vt:lpstr>Título</vt:lpstr>
      </vt:variant>
      <vt:variant>
        <vt:i4>1</vt:i4>
      </vt:variant>
    </vt:vector>
  </HeadingPairs>
  <TitlesOfParts>
    <vt:vector size="1" baseType="lpstr">
      <vt:lpstr/>
    </vt:vector>
  </TitlesOfParts>
  <Company>JFMG</Company>
  <LinksUpToDate>false</LinksUpToDate>
  <CharactersWithSpaces>159583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dc:creator>
  <cp:lastModifiedBy>Antônio Fernando Alves da Gama Moraes</cp:lastModifiedBy>
  <cp:revision>3</cp:revision>
  <cp:lastPrinted>2023-03-24T18:51:00Z</cp:lastPrinted>
  <dcterms:created xsi:type="dcterms:W3CDTF">2026-03-26T18:08:00Z</dcterms:created>
  <dcterms:modified xsi:type="dcterms:W3CDTF">2026-03-26T19:21:00Z</dcterms:modified>
</cp:coreProperties>
</file>